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b/>
          <w:color w:val="000000"/>
          <w:sz w:val="44"/>
          <w:szCs w:val="48"/>
        </w:rPr>
      </w:pPr>
      <w:bookmarkStart w:id="0" w:name="_Toc73431140"/>
      <w:bookmarkStart w:id="1" w:name="_Toc68937040"/>
      <w:bookmarkStart w:id="2" w:name="_Toc68939297"/>
      <w:bookmarkStart w:id="3" w:name="_Toc64714056"/>
      <w:bookmarkStart w:id="4" w:name="_Toc63588071"/>
      <w:bookmarkStart w:id="5" w:name="_Toc56918221"/>
      <w:bookmarkStart w:id="6" w:name="_Toc63825923"/>
      <w:bookmarkStart w:id="7" w:name="_Toc73183894"/>
      <w:bookmarkStart w:id="8" w:name="_Toc68516264"/>
      <w:bookmarkStart w:id="9" w:name="_Toc54084295"/>
      <w:bookmarkStart w:id="10" w:name="_Toc53816912"/>
      <w:bookmarkStart w:id="11" w:name="_Toc54084223"/>
      <w:bookmarkStart w:id="12" w:name="_Toc54087726"/>
      <w:r>
        <w:rPr>
          <w:sz w:val="44"/>
        </w:rPr>
        <mc:AlternateContent>
          <mc:Choice Requires="wps">
            <w:drawing>
              <wp:anchor distT="0" distB="0" distL="114300" distR="114300" simplePos="0" relativeHeight="251660288" behindDoc="0" locked="0" layoutInCell="1" allowOverlap="1">
                <wp:simplePos x="0" y="0"/>
                <wp:positionH relativeFrom="column">
                  <wp:posOffset>-82550</wp:posOffset>
                </wp:positionH>
                <wp:positionV relativeFrom="paragraph">
                  <wp:posOffset>-701675</wp:posOffset>
                </wp:positionV>
                <wp:extent cx="5846445" cy="678815"/>
                <wp:effectExtent l="4445" t="5080" r="16510" b="20955"/>
                <wp:wrapNone/>
                <wp:docPr id="52" name="文本框 191"/>
                <wp:cNvGraphicFramePr/>
                <a:graphic xmlns:a="http://schemas.openxmlformats.org/drawingml/2006/main">
                  <a:graphicData uri="http://schemas.microsoft.com/office/word/2010/wordprocessingShape">
                    <wps:wsp>
                      <wps:cNvSpPr txBox="1"/>
                      <wps:spPr>
                        <a:xfrm>
                          <a:off x="0" y="0"/>
                          <a:ext cx="5846445" cy="678815"/>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txbxContent>
                      </wps:txbx>
                      <wps:bodyPr wrap="square" upright="1"/>
                    </wps:wsp>
                  </a:graphicData>
                </a:graphic>
              </wp:anchor>
            </w:drawing>
          </mc:Choice>
          <mc:Fallback>
            <w:pict>
              <v:shape id="文本框 191" o:spid="_x0000_s1026" o:spt="202" type="#_x0000_t202" style="position:absolute;left:0pt;margin-left:-6.5pt;margin-top:-55.25pt;height:53.45pt;width:460.35pt;z-index:251660288;mso-width-relative:page;mso-height-relative:page;" fillcolor="#FFFFFF" filled="t" stroked="t" coordsize="21600,21600" o:gfxdata="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NoD13ZAAAACwEA&#10;AA8AAAAAAAAAAQAgAAAAIgAAAGRycy9kb3ducmV2LnhtbFBLAQIUABQAAAAIAIdO4kA8hIp9GQIA&#10;AFUEAAAOAAAAAAAAAAEAIAAAACgBAABkcnMvZTJvRG9jLnhtbFBLBQYAAAAABgAGAFkBAACzBQAA&#10;AAA=&#10;">
                <v:fill on="t" focussize="0,0"/>
                <v:stroke color="#FFFFFF" joinstyle="miter"/>
                <v:imagedata o:title=""/>
                <o:lock v:ext="edit" aspectratio="f"/>
                <v:textbox>
                  <w:txbxContent>
                    <w:p/>
                  </w:txbxContent>
                </v:textbox>
              </v:shape>
            </w:pict>
          </mc:Fallback>
        </mc:AlternateContent>
      </w:r>
    </w:p>
    <w:p>
      <w:pPr>
        <w:spacing w:line="720" w:lineRule="exact"/>
        <w:jc w:val="center"/>
        <w:rPr>
          <w:rFonts w:eastAsia="黑体"/>
          <w:b/>
          <w:bCs/>
          <w:sz w:val="48"/>
          <w:szCs w:val="48"/>
        </w:rPr>
      </w:pPr>
      <w:r>
        <w:rPr>
          <w:rFonts w:hint="eastAsia" w:eastAsia="黑体"/>
          <w:b/>
          <w:bCs/>
          <w:sz w:val="48"/>
          <w:szCs w:val="48"/>
        </w:rPr>
        <w:t>中国石油吐哈油田神泉污水处理系统扩建项目</w:t>
      </w:r>
      <w:r>
        <w:rPr>
          <w:rFonts w:eastAsia="黑体"/>
          <w:b/>
          <w:bCs/>
          <w:sz w:val="48"/>
          <w:szCs w:val="48"/>
        </w:rPr>
        <w:t>竣工环境保护</w:t>
      </w:r>
      <w:r>
        <w:rPr>
          <w:rFonts w:hint="eastAsia" w:eastAsia="黑体"/>
          <w:b/>
          <w:bCs/>
          <w:sz w:val="48"/>
          <w:szCs w:val="48"/>
          <w:lang w:val="en-US" w:eastAsia="zh-CN"/>
        </w:rPr>
        <w:t>固体废物、噪声</w:t>
      </w:r>
      <w:r>
        <w:rPr>
          <w:rFonts w:eastAsia="黑体"/>
          <w:b/>
          <w:bCs/>
          <w:sz w:val="48"/>
          <w:szCs w:val="48"/>
        </w:rPr>
        <w:t>验收监测报告</w:t>
      </w:r>
    </w:p>
    <w:p>
      <w:pPr>
        <w:spacing w:line="240" w:lineRule="auto"/>
        <w:jc w:val="center"/>
        <w:rPr>
          <w:rFonts w:eastAsia="黑体"/>
          <w:b/>
          <w:bCs/>
          <w:sz w:val="48"/>
          <w:szCs w:val="48"/>
        </w:rPr>
      </w:pPr>
    </w:p>
    <w:p>
      <w:pPr>
        <w:spacing w:line="240" w:lineRule="auto"/>
        <w:jc w:val="center"/>
        <w:rPr>
          <w:rFonts w:eastAsia="黑体"/>
          <w:b/>
          <w:bCs/>
          <w:sz w:val="48"/>
          <w:szCs w:val="48"/>
        </w:rPr>
      </w:pPr>
    </w:p>
    <w:p>
      <w:pPr>
        <w:spacing w:line="480" w:lineRule="auto"/>
        <w:jc w:val="center"/>
        <w:rPr>
          <w:rFonts w:eastAsia="新宋体"/>
          <w:b/>
          <w:sz w:val="32"/>
          <w:szCs w:val="32"/>
        </w:rPr>
      </w:pPr>
      <w:r>
        <w:rPr>
          <w:b/>
          <w:sz w:val="36"/>
          <w:szCs w:val="32"/>
        </w:rPr>
        <w:t>水清清（监）[20</w:t>
      </w:r>
      <w:r>
        <w:rPr>
          <w:rFonts w:hint="eastAsia"/>
          <w:b/>
          <w:sz w:val="36"/>
          <w:szCs w:val="32"/>
          <w:lang w:val="en-US" w:eastAsia="zh-CN"/>
        </w:rPr>
        <w:t>22</w:t>
      </w:r>
      <w:r>
        <w:rPr>
          <w:b/>
          <w:sz w:val="36"/>
          <w:szCs w:val="32"/>
        </w:rPr>
        <w:t>]―YS―0</w:t>
      </w:r>
      <w:r>
        <w:rPr>
          <w:rFonts w:hint="eastAsia"/>
          <w:b/>
          <w:sz w:val="36"/>
          <w:szCs w:val="32"/>
          <w:lang w:val="en-US" w:eastAsia="zh-CN"/>
        </w:rPr>
        <w:t>80</w:t>
      </w:r>
      <w:r>
        <w:rPr>
          <w:b/>
          <w:sz w:val="36"/>
          <w:szCs w:val="32"/>
        </w:rPr>
        <w:t>号</w:t>
      </w:r>
    </w:p>
    <w:p>
      <w:pPr>
        <w:widowControl/>
        <w:jc w:val="center"/>
      </w:pPr>
      <w:r>
        <w:rPr>
          <w:rFonts w:ascii="宋体" w:hAnsi="宋体" w:cs="宋体"/>
          <w:kern w:val="0"/>
          <w:sz w:val="24"/>
        </w:rPr>
        <w:drawing>
          <wp:inline distT="0" distB="0" distL="114300" distR="114300">
            <wp:extent cx="5417185" cy="3708400"/>
            <wp:effectExtent l="0" t="0" r="12065" b="635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14"/>
                    <a:stretch>
                      <a:fillRect/>
                    </a:stretch>
                  </pic:blipFill>
                  <pic:spPr>
                    <a:xfrm>
                      <a:off x="0" y="0"/>
                      <a:ext cx="5417185" cy="370840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sz w:val="32"/>
          <w:szCs w:val="32"/>
          <w:lang w:eastAsia="zh-CN"/>
        </w:rPr>
      </w:pPr>
      <w:r>
        <w:rPr>
          <w:rFonts w:hint="eastAsia" w:eastAsia="新宋体"/>
          <w:b/>
          <w:sz w:val="32"/>
          <w:szCs w:val="32"/>
        </w:rPr>
        <w:t>建设单位：</w:t>
      </w:r>
      <w:r>
        <w:rPr>
          <w:rFonts w:hint="default" w:ascii="Times New Roman" w:hAnsi="Times New Roman" w:cs="Times New Roman"/>
          <w:b/>
          <w:sz w:val="32"/>
          <w:szCs w:val="32"/>
          <w:lang w:eastAsia="zh-CN"/>
        </w:rPr>
        <w:t>中国石油天然气股份有限公司吐哈油田分公司</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eastAsia="新宋体"/>
          <w:b/>
          <w:sz w:val="32"/>
          <w:szCs w:val="32"/>
        </w:rPr>
      </w:pPr>
      <w:r>
        <w:rPr>
          <w:rFonts w:hint="default" w:ascii="Times New Roman" w:hAnsi="Times New Roman" w:cs="Times New Roman"/>
          <w:b/>
          <w:sz w:val="32"/>
          <w:szCs w:val="32"/>
          <w:lang w:eastAsia="zh-CN"/>
        </w:rPr>
        <w:t>吐鲁番采油管理区</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eastAsia="新宋体"/>
          <w:b/>
          <w:sz w:val="32"/>
          <w:szCs w:val="32"/>
        </w:rPr>
      </w:pPr>
      <w:r>
        <w:rPr>
          <w:rFonts w:hint="eastAsia" w:eastAsia="新宋体"/>
          <w:b/>
          <w:sz w:val="32"/>
          <w:szCs w:val="32"/>
        </w:rPr>
        <w:t>编制</w:t>
      </w:r>
      <w:r>
        <w:rPr>
          <w:rFonts w:eastAsia="新宋体"/>
          <w:b/>
          <w:sz w:val="32"/>
          <w:szCs w:val="32"/>
        </w:rPr>
        <w:t>单位：新疆水清清环境监测技术服务有限公司</w:t>
      </w:r>
    </w:p>
    <w:p>
      <w:pPr>
        <w:keepNext w:val="0"/>
        <w:keepLines w:val="0"/>
        <w:pageBreakBefore w:val="0"/>
        <w:widowControl w:val="0"/>
        <w:kinsoku/>
        <w:wordWrap/>
        <w:overflowPunct/>
        <w:topLinePunct w:val="0"/>
        <w:autoSpaceDE/>
        <w:autoSpaceDN/>
        <w:bidi w:val="0"/>
        <w:spacing w:line="360" w:lineRule="auto"/>
        <w:ind w:firstLine="0" w:firstLineChars="0"/>
        <w:jc w:val="center"/>
        <w:textAlignment w:val="auto"/>
        <w:rPr>
          <w:b/>
          <w:sz w:val="32"/>
          <w:szCs w:val="32"/>
        </w:rPr>
      </w:pPr>
      <w:r>
        <w:rPr>
          <w:rFonts w:hint="eastAsia" w:eastAsia="新宋体"/>
          <w:b/>
          <w:sz w:val="32"/>
          <w:szCs w:val="32"/>
        </w:rPr>
        <w:t>20</w:t>
      </w:r>
      <w:r>
        <w:rPr>
          <w:rFonts w:hint="eastAsia" w:eastAsia="新宋体"/>
          <w:b/>
          <w:sz w:val="32"/>
          <w:szCs w:val="32"/>
          <w:lang w:val="en-US" w:eastAsia="zh-CN"/>
        </w:rPr>
        <w:t>22</w:t>
      </w:r>
      <w:r>
        <w:rPr>
          <w:rFonts w:eastAsia="新宋体"/>
          <w:b/>
          <w:sz w:val="32"/>
          <w:szCs w:val="32"/>
        </w:rPr>
        <w:t>年</w:t>
      </w:r>
      <w:r>
        <w:rPr>
          <w:rFonts w:hint="eastAsia" w:eastAsia="新宋体"/>
          <w:b/>
          <w:sz w:val="32"/>
          <w:szCs w:val="32"/>
          <w:lang w:val="en-US" w:eastAsia="zh-CN"/>
        </w:rPr>
        <w:t>5</w:t>
      </w:r>
      <w:r>
        <w:rPr>
          <w:rFonts w:eastAsia="新宋体"/>
          <w:b/>
          <w:sz w:val="32"/>
          <w:szCs w:val="32"/>
        </w:rPr>
        <w:t>月</w:t>
      </w:r>
    </w:p>
    <w:p>
      <w:pPr>
        <w:adjustRightInd w:val="0"/>
        <w:snapToGrid w:val="0"/>
        <w:spacing w:line="600" w:lineRule="auto"/>
        <w:rPr>
          <w:b/>
          <w:bCs/>
          <w:szCs w:val="20"/>
        </w:rPr>
      </w:pPr>
    </w:p>
    <w:tbl>
      <w:tblPr>
        <w:tblStyle w:val="41"/>
        <w:tblW w:w="85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92"/>
        <w:gridCol w:w="56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2" w:type="dxa"/>
          </w:tcPr>
          <w:p>
            <w:pPr>
              <w:adjustRightInd w:val="0"/>
              <w:snapToGrid w:val="0"/>
              <w:spacing w:line="480" w:lineRule="auto"/>
              <w:rPr>
                <w:b/>
                <w:bCs/>
                <w:szCs w:val="20"/>
              </w:rPr>
            </w:pPr>
            <w:r>
              <w:rPr>
                <w:rFonts w:hint="eastAsia"/>
                <w:b/>
                <w:bCs/>
                <w:szCs w:val="20"/>
              </w:rPr>
              <w:t>建  设  单  位：</w:t>
            </w:r>
          </w:p>
        </w:tc>
        <w:tc>
          <w:tcPr>
            <w:tcW w:w="5631" w:type="dxa"/>
          </w:tcPr>
          <w:p>
            <w:pPr>
              <w:adjustRightInd w:val="0"/>
              <w:snapToGrid w:val="0"/>
              <w:spacing w:line="480" w:lineRule="auto"/>
              <w:rPr>
                <w:rFonts w:hint="eastAsia"/>
                <w:b/>
                <w:bCs/>
                <w:szCs w:val="20"/>
              </w:rPr>
            </w:pPr>
            <w:r>
              <w:rPr>
                <w:rFonts w:hint="eastAsia"/>
                <w:b/>
                <w:bCs/>
                <w:szCs w:val="20"/>
              </w:rPr>
              <w:t>中国石油天然气股份有限公司吐哈油田</w:t>
            </w:r>
          </w:p>
          <w:p>
            <w:pPr>
              <w:adjustRightInd w:val="0"/>
              <w:snapToGrid w:val="0"/>
              <w:spacing w:line="480" w:lineRule="auto"/>
              <w:rPr>
                <w:b/>
                <w:bCs/>
                <w:szCs w:val="20"/>
              </w:rPr>
            </w:pPr>
            <w:r>
              <w:rPr>
                <w:rFonts w:hint="eastAsia"/>
                <w:b/>
                <w:bCs/>
                <w:szCs w:val="20"/>
              </w:rPr>
              <w:t>分公司</w:t>
            </w:r>
            <w:r>
              <w:rPr>
                <w:rFonts w:hint="eastAsia"/>
                <w:b/>
                <w:bCs/>
                <w:szCs w:val="20"/>
                <w:lang w:eastAsia="zh-CN"/>
              </w:rPr>
              <w:t>吐鲁番采油管理区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2" w:type="dxa"/>
          </w:tcPr>
          <w:p>
            <w:pPr>
              <w:adjustRightInd w:val="0"/>
              <w:snapToGrid w:val="0"/>
              <w:spacing w:line="480" w:lineRule="auto"/>
              <w:rPr>
                <w:b/>
                <w:bCs/>
                <w:szCs w:val="20"/>
              </w:rPr>
            </w:pPr>
            <w:r>
              <w:rPr>
                <w:rFonts w:hint="eastAsia"/>
                <w:b/>
                <w:bCs/>
                <w:szCs w:val="20"/>
              </w:rPr>
              <w:t>法  人  代  表：</w:t>
            </w:r>
          </w:p>
        </w:tc>
        <w:tc>
          <w:tcPr>
            <w:tcW w:w="5631" w:type="dxa"/>
          </w:tcPr>
          <w:p>
            <w:pPr>
              <w:adjustRightInd w:val="0"/>
              <w:snapToGrid w:val="0"/>
              <w:spacing w:line="480" w:lineRule="auto"/>
              <w:rPr>
                <w:rFonts w:hint="eastAsia" w:eastAsia="宋体"/>
                <w:b/>
                <w:bCs/>
                <w:szCs w:val="20"/>
                <w:lang w:eastAsia="zh-CN"/>
              </w:rPr>
            </w:pPr>
            <w:r>
              <w:rPr>
                <w:rFonts w:hint="eastAsia"/>
                <w:b/>
                <w:bCs/>
                <w:szCs w:val="20"/>
                <w:lang w:val="en-US" w:eastAsia="zh-CN"/>
              </w:rPr>
              <w:t>司宝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2" w:type="dxa"/>
          </w:tcPr>
          <w:p>
            <w:pPr>
              <w:adjustRightInd w:val="0"/>
              <w:snapToGrid w:val="0"/>
              <w:spacing w:line="480" w:lineRule="auto"/>
              <w:rPr>
                <w:b/>
                <w:bCs/>
                <w:szCs w:val="20"/>
              </w:rPr>
            </w:pPr>
          </w:p>
        </w:tc>
        <w:tc>
          <w:tcPr>
            <w:tcW w:w="5631" w:type="dxa"/>
          </w:tcPr>
          <w:p>
            <w:pPr>
              <w:adjustRightInd w:val="0"/>
              <w:snapToGrid w:val="0"/>
              <w:spacing w:line="480" w:lineRule="auto"/>
              <w:rPr>
                <w:b/>
                <w:bCs/>
                <w:szCs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2" w:type="dxa"/>
          </w:tcPr>
          <w:p>
            <w:pPr>
              <w:adjustRightInd w:val="0"/>
              <w:snapToGrid w:val="0"/>
              <w:spacing w:line="480" w:lineRule="auto"/>
              <w:rPr>
                <w:b/>
                <w:bCs/>
                <w:szCs w:val="20"/>
              </w:rPr>
            </w:pPr>
            <w:r>
              <w:rPr>
                <w:rFonts w:hint="eastAsia"/>
                <w:b/>
                <w:bCs/>
                <w:szCs w:val="20"/>
              </w:rPr>
              <w:t>编  制</w:t>
            </w:r>
            <w:r>
              <w:rPr>
                <w:b/>
                <w:bCs/>
                <w:szCs w:val="20"/>
              </w:rPr>
              <w:t>单  位：</w:t>
            </w:r>
          </w:p>
        </w:tc>
        <w:tc>
          <w:tcPr>
            <w:tcW w:w="5631" w:type="dxa"/>
          </w:tcPr>
          <w:p>
            <w:pPr>
              <w:adjustRightInd w:val="0"/>
              <w:snapToGrid w:val="0"/>
              <w:spacing w:line="480" w:lineRule="auto"/>
              <w:rPr>
                <w:b/>
                <w:bCs/>
                <w:szCs w:val="20"/>
              </w:rPr>
            </w:pPr>
            <w:r>
              <w:rPr>
                <w:b/>
                <w:bCs/>
                <w:szCs w:val="20"/>
              </w:rPr>
              <w:t>新疆水清清环境监测技术服务有限公司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2" w:type="dxa"/>
          </w:tcPr>
          <w:p>
            <w:pPr>
              <w:adjustRightInd w:val="0"/>
              <w:snapToGrid w:val="0"/>
              <w:spacing w:line="480" w:lineRule="auto"/>
              <w:rPr>
                <w:b/>
                <w:bCs/>
                <w:szCs w:val="20"/>
              </w:rPr>
            </w:pPr>
            <w:r>
              <w:rPr>
                <w:b/>
                <w:bCs/>
                <w:szCs w:val="20"/>
              </w:rPr>
              <w:t>法  人</w:t>
            </w:r>
            <w:r>
              <w:rPr>
                <w:rFonts w:hint="eastAsia"/>
                <w:b/>
                <w:bCs/>
                <w:szCs w:val="20"/>
              </w:rPr>
              <w:t xml:space="preserve">  代  表</w:t>
            </w:r>
            <w:r>
              <w:rPr>
                <w:b/>
                <w:bCs/>
                <w:szCs w:val="20"/>
              </w:rPr>
              <w:t>：</w:t>
            </w:r>
          </w:p>
        </w:tc>
        <w:tc>
          <w:tcPr>
            <w:tcW w:w="5631" w:type="dxa"/>
          </w:tcPr>
          <w:p>
            <w:pPr>
              <w:snapToGrid w:val="0"/>
              <w:spacing w:line="480" w:lineRule="auto"/>
              <w:rPr>
                <w:rFonts w:hint="eastAsia" w:eastAsia="宋体"/>
                <w:b/>
                <w:bCs/>
                <w:szCs w:val="20"/>
                <w:lang w:eastAsia="zh-CN"/>
              </w:rPr>
            </w:pPr>
            <w:r>
              <w:rPr>
                <w:rFonts w:hint="eastAsia"/>
                <w:b/>
                <w:szCs w:val="20"/>
                <w:lang w:val="en-US" w:eastAsia="zh-CN"/>
              </w:rPr>
              <w:t>陈漫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2" w:type="dxa"/>
          </w:tcPr>
          <w:p>
            <w:pPr>
              <w:adjustRightInd w:val="0"/>
              <w:snapToGrid w:val="0"/>
              <w:spacing w:line="480" w:lineRule="auto"/>
              <w:rPr>
                <w:b/>
                <w:bCs/>
                <w:szCs w:val="20"/>
              </w:rPr>
            </w:pPr>
            <w:r>
              <w:rPr>
                <w:b/>
                <w:bCs/>
                <w:szCs w:val="20"/>
              </w:rPr>
              <w:t>项 目 负 责 人：</w:t>
            </w:r>
          </w:p>
        </w:tc>
        <w:tc>
          <w:tcPr>
            <w:tcW w:w="5631" w:type="dxa"/>
          </w:tcPr>
          <w:p>
            <w:pPr>
              <w:snapToGrid w:val="0"/>
              <w:spacing w:line="480" w:lineRule="auto"/>
              <w:rPr>
                <w:b/>
                <w:bCs/>
                <w:szCs w:val="20"/>
              </w:rPr>
            </w:pPr>
            <w:r>
              <w:rPr>
                <w:b/>
                <w:bCs/>
                <w:szCs w:val="36"/>
              </w:rPr>
              <w:t>杜苏婉【（验监）证字第201663022号】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2" w:type="dxa"/>
          </w:tcPr>
          <w:p>
            <w:pPr>
              <w:adjustRightInd w:val="0"/>
              <w:snapToGrid w:val="0"/>
              <w:spacing w:line="480" w:lineRule="auto"/>
              <w:rPr>
                <w:b/>
                <w:bCs/>
                <w:szCs w:val="20"/>
              </w:rPr>
            </w:pPr>
            <w:r>
              <w:rPr>
                <w:b/>
                <w:bCs/>
                <w:szCs w:val="20"/>
              </w:rPr>
              <w:t xml:space="preserve">审          核：  </w:t>
            </w:r>
          </w:p>
        </w:tc>
        <w:tc>
          <w:tcPr>
            <w:tcW w:w="5631" w:type="dxa"/>
          </w:tcPr>
          <w:p>
            <w:pPr>
              <w:snapToGrid w:val="0"/>
              <w:spacing w:line="480" w:lineRule="auto"/>
              <w:rPr>
                <w:b/>
                <w:szCs w:val="20"/>
              </w:rPr>
            </w:pPr>
            <w:r>
              <w:rPr>
                <w:b/>
                <w:szCs w:val="20"/>
              </w:rPr>
              <w:t xml:space="preserve">司马义【（验监）证字第200619115号】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92" w:type="dxa"/>
          </w:tcPr>
          <w:p>
            <w:pPr>
              <w:adjustRightInd w:val="0"/>
              <w:snapToGrid w:val="0"/>
              <w:spacing w:line="480" w:lineRule="auto"/>
              <w:rPr>
                <w:b/>
                <w:bCs/>
                <w:color w:val="auto"/>
                <w:szCs w:val="20"/>
              </w:rPr>
            </w:pPr>
            <w:r>
              <w:rPr>
                <w:b/>
                <w:bCs/>
                <w:color w:val="auto"/>
                <w:szCs w:val="20"/>
              </w:rPr>
              <w:t>监  测  人  员：</w:t>
            </w:r>
          </w:p>
        </w:tc>
        <w:tc>
          <w:tcPr>
            <w:tcW w:w="5631" w:type="dxa"/>
          </w:tcPr>
          <w:p>
            <w:pPr>
              <w:snapToGrid w:val="0"/>
              <w:spacing w:line="480" w:lineRule="auto"/>
              <w:rPr>
                <w:rFonts w:hint="default" w:eastAsia="宋体"/>
                <w:b/>
                <w:color w:val="auto"/>
                <w:szCs w:val="20"/>
                <w:lang w:val="en-US" w:eastAsia="zh-CN"/>
              </w:rPr>
            </w:pPr>
            <w:r>
              <w:rPr>
                <w:rFonts w:hint="eastAsia"/>
                <w:b/>
                <w:color w:val="auto"/>
                <w:szCs w:val="20"/>
                <w:lang w:val="en-US" w:eastAsia="zh-CN"/>
              </w:rPr>
              <w:t>张斌、毛玉亮</w:t>
            </w:r>
          </w:p>
        </w:tc>
      </w:tr>
    </w:tbl>
    <w:p>
      <w:pPr>
        <w:rPr>
          <w:b/>
          <w:bCs/>
          <w:szCs w:val="20"/>
        </w:rPr>
      </w:pPr>
    </w:p>
    <w:p>
      <w:pPr>
        <w:rPr>
          <w:b/>
          <w:bCs/>
          <w:szCs w:val="20"/>
        </w:rPr>
      </w:pPr>
    </w:p>
    <w:p>
      <w:pPr>
        <w:rPr>
          <w:b/>
          <w:bCs/>
          <w:szCs w:val="20"/>
        </w:rPr>
      </w:pPr>
    </w:p>
    <w:tbl>
      <w:tblPr>
        <w:tblStyle w:val="40"/>
        <w:tblW w:w="8301" w:type="dxa"/>
        <w:tblInd w:w="0" w:type="dxa"/>
        <w:tblLayout w:type="fixed"/>
        <w:tblCellMar>
          <w:top w:w="0" w:type="dxa"/>
          <w:left w:w="108" w:type="dxa"/>
          <w:bottom w:w="0" w:type="dxa"/>
          <w:right w:w="108" w:type="dxa"/>
        </w:tblCellMar>
      </w:tblPr>
      <w:tblGrid>
        <w:gridCol w:w="1176"/>
        <w:gridCol w:w="2906"/>
        <w:gridCol w:w="1178"/>
        <w:gridCol w:w="3041"/>
      </w:tblGrid>
      <w:tr>
        <w:tblPrEx>
          <w:tblCellMar>
            <w:top w:w="0" w:type="dxa"/>
            <w:left w:w="108" w:type="dxa"/>
            <w:bottom w:w="0" w:type="dxa"/>
            <w:right w:w="108" w:type="dxa"/>
          </w:tblCellMar>
        </w:tblPrEx>
        <w:trPr>
          <w:trHeight w:val="454" w:hRule="atLeast"/>
        </w:trPr>
        <w:tc>
          <w:tcPr>
            <w:tcW w:w="1176" w:type="dxa"/>
            <w:vAlign w:val="center"/>
          </w:tcPr>
          <w:p>
            <w:pPr>
              <w:rPr>
                <w:b/>
                <w:bCs/>
                <w:sz w:val="21"/>
                <w:szCs w:val="21"/>
              </w:rPr>
            </w:pPr>
            <w:r>
              <w:rPr>
                <w:b/>
                <w:bCs/>
                <w:sz w:val="21"/>
                <w:szCs w:val="21"/>
              </w:rPr>
              <w:t xml:space="preserve">建设单位：                    </w:t>
            </w:r>
          </w:p>
        </w:tc>
        <w:tc>
          <w:tcPr>
            <w:tcW w:w="2906" w:type="dxa"/>
            <w:vAlign w:val="center"/>
          </w:tcPr>
          <w:p>
            <w:pPr>
              <w:rPr>
                <w:b/>
                <w:bCs/>
                <w:sz w:val="21"/>
                <w:szCs w:val="21"/>
              </w:rPr>
            </w:pPr>
            <w:r>
              <w:rPr>
                <w:b/>
                <w:bCs/>
                <w:sz w:val="21"/>
                <w:szCs w:val="21"/>
              </w:rPr>
              <w:t>中国石油天然气股份有限公司吐哈油田分公司</w:t>
            </w:r>
          </w:p>
        </w:tc>
        <w:tc>
          <w:tcPr>
            <w:tcW w:w="1178" w:type="dxa"/>
            <w:vAlign w:val="center"/>
          </w:tcPr>
          <w:p>
            <w:pPr>
              <w:rPr>
                <w:b/>
                <w:bCs/>
                <w:sz w:val="21"/>
                <w:szCs w:val="21"/>
              </w:rPr>
            </w:pPr>
            <w:r>
              <w:rPr>
                <w:b/>
                <w:bCs/>
                <w:sz w:val="21"/>
                <w:szCs w:val="21"/>
              </w:rPr>
              <w:t>编制单位：</w:t>
            </w:r>
          </w:p>
        </w:tc>
        <w:tc>
          <w:tcPr>
            <w:tcW w:w="3041" w:type="dxa"/>
            <w:vAlign w:val="center"/>
          </w:tcPr>
          <w:p>
            <w:pPr>
              <w:rPr>
                <w:b/>
                <w:bCs/>
                <w:sz w:val="21"/>
                <w:szCs w:val="21"/>
              </w:rPr>
            </w:pPr>
            <w:r>
              <w:rPr>
                <w:b/>
                <w:bCs/>
                <w:sz w:val="21"/>
                <w:szCs w:val="21"/>
              </w:rPr>
              <w:t>新疆水清清环境监测技术服务有限公司</w:t>
            </w:r>
          </w:p>
        </w:tc>
      </w:tr>
      <w:tr>
        <w:tblPrEx>
          <w:tblCellMar>
            <w:top w:w="0" w:type="dxa"/>
            <w:left w:w="108" w:type="dxa"/>
            <w:bottom w:w="0" w:type="dxa"/>
            <w:right w:w="108" w:type="dxa"/>
          </w:tblCellMar>
        </w:tblPrEx>
        <w:trPr>
          <w:trHeight w:val="454" w:hRule="atLeast"/>
        </w:trPr>
        <w:tc>
          <w:tcPr>
            <w:tcW w:w="1176" w:type="dxa"/>
            <w:vAlign w:val="center"/>
          </w:tcPr>
          <w:p>
            <w:pPr>
              <w:rPr>
                <w:b/>
                <w:bCs/>
                <w:sz w:val="21"/>
                <w:szCs w:val="21"/>
              </w:rPr>
            </w:pPr>
            <w:r>
              <w:rPr>
                <w:b/>
                <w:bCs/>
                <w:sz w:val="21"/>
                <w:szCs w:val="21"/>
              </w:rPr>
              <w:t xml:space="preserve">电话：    </w:t>
            </w:r>
          </w:p>
        </w:tc>
        <w:tc>
          <w:tcPr>
            <w:tcW w:w="2906" w:type="dxa"/>
            <w:vAlign w:val="center"/>
          </w:tcPr>
          <w:p>
            <w:pPr>
              <w:rPr>
                <w:b/>
                <w:bCs/>
                <w:sz w:val="21"/>
                <w:szCs w:val="21"/>
              </w:rPr>
            </w:pPr>
            <w:r>
              <w:rPr>
                <w:b/>
                <w:bCs/>
                <w:sz w:val="21"/>
                <w:szCs w:val="21"/>
              </w:rPr>
              <w:t xml:space="preserve">13179956696 </w:t>
            </w:r>
          </w:p>
        </w:tc>
        <w:tc>
          <w:tcPr>
            <w:tcW w:w="1178" w:type="dxa"/>
            <w:vAlign w:val="center"/>
          </w:tcPr>
          <w:p>
            <w:pPr>
              <w:rPr>
                <w:b/>
                <w:bCs/>
                <w:sz w:val="21"/>
                <w:szCs w:val="21"/>
              </w:rPr>
            </w:pPr>
            <w:r>
              <w:rPr>
                <w:b/>
                <w:bCs/>
                <w:sz w:val="21"/>
                <w:szCs w:val="21"/>
              </w:rPr>
              <w:t xml:space="preserve">电话：    </w:t>
            </w:r>
          </w:p>
        </w:tc>
        <w:tc>
          <w:tcPr>
            <w:tcW w:w="3041" w:type="dxa"/>
            <w:vAlign w:val="center"/>
          </w:tcPr>
          <w:p>
            <w:pPr>
              <w:rPr>
                <w:b/>
                <w:bCs/>
                <w:sz w:val="21"/>
                <w:szCs w:val="21"/>
              </w:rPr>
            </w:pPr>
            <w:r>
              <w:rPr>
                <w:b/>
                <w:bCs/>
                <w:sz w:val="21"/>
                <w:szCs w:val="21"/>
              </w:rPr>
              <w:t>0991-4835555</w:t>
            </w:r>
          </w:p>
        </w:tc>
      </w:tr>
      <w:tr>
        <w:tblPrEx>
          <w:tblCellMar>
            <w:top w:w="0" w:type="dxa"/>
            <w:left w:w="108" w:type="dxa"/>
            <w:bottom w:w="0" w:type="dxa"/>
            <w:right w:w="108" w:type="dxa"/>
          </w:tblCellMar>
        </w:tblPrEx>
        <w:trPr>
          <w:trHeight w:val="454" w:hRule="atLeast"/>
        </w:trPr>
        <w:tc>
          <w:tcPr>
            <w:tcW w:w="1176" w:type="dxa"/>
            <w:vAlign w:val="center"/>
          </w:tcPr>
          <w:p>
            <w:pPr>
              <w:rPr>
                <w:b/>
                <w:bCs/>
                <w:sz w:val="21"/>
                <w:szCs w:val="21"/>
              </w:rPr>
            </w:pPr>
            <w:r>
              <w:rPr>
                <w:b/>
                <w:bCs/>
                <w:sz w:val="21"/>
                <w:szCs w:val="21"/>
              </w:rPr>
              <w:t xml:space="preserve">传真：       </w:t>
            </w:r>
          </w:p>
        </w:tc>
        <w:tc>
          <w:tcPr>
            <w:tcW w:w="2906" w:type="dxa"/>
            <w:vAlign w:val="center"/>
          </w:tcPr>
          <w:p>
            <w:pPr>
              <w:rPr>
                <w:b/>
                <w:bCs/>
                <w:sz w:val="21"/>
                <w:szCs w:val="21"/>
              </w:rPr>
            </w:pPr>
            <w:r>
              <w:rPr>
                <w:b/>
                <w:bCs/>
                <w:sz w:val="21"/>
                <w:szCs w:val="21"/>
              </w:rPr>
              <w:t>/</w:t>
            </w:r>
          </w:p>
        </w:tc>
        <w:tc>
          <w:tcPr>
            <w:tcW w:w="1178" w:type="dxa"/>
            <w:vAlign w:val="center"/>
          </w:tcPr>
          <w:p>
            <w:pPr>
              <w:rPr>
                <w:b/>
                <w:bCs/>
                <w:sz w:val="21"/>
                <w:szCs w:val="21"/>
              </w:rPr>
            </w:pPr>
            <w:r>
              <w:rPr>
                <w:b/>
                <w:bCs/>
                <w:sz w:val="21"/>
                <w:szCs w:val="21"/>
              </w:rPr>
              <w:t xml:space="preserve">传真：    </w:t>
            </w:r>
          </w:p>
        </w:tc>
        <w:tc>
          <w:tcPr>
            <w:tcW w:w="3041" w:type="dxa"/>
            <w:vAlign w:val="center"/>
          </w:tcPr>
          <w:p>
            <w:pPr>
              <w:rPr>
                <w:b/>
                <w:bCs/>
                <w:sz w:val="21"/>
                <w:szCs w:val="21"/>
              </w:rPr>
            </w:pPr>
            <w:r>
              <w:rPr>
                <w:b/>
                <w:bCs/>
                <w:sz w:val="21"/>
                <w:szCs w:val="21"/>
              </w:rPr>
              <w:t>0991-4835555</w:t>
            </w:r>
          </w:p>
        </w:tc>
      </w:tr>
      <w:tr>
        <w:tblPrEx>
          <w:tblCellMar>
            <w:top w:w="0" w:type="dxa"/>
            <w:left w:w="108" w:type="dxa"/>
            <w:bottom w:w="0" w:type="dxa"/>
            <w:right w:w="108" w:type="dxa"/>
          </w:tblCellMar>
        </w:tblPrEx>
        <w:trPr>
          <w:trHeight w:val="454" w:hRule="atLeast"/>
        </w:trPr>
        <w:tc>
          <w:tcPr>
            <w:tcW w:w="1176" w:type="dxa"/>
            <w:vAlign w:val="center"/>
          </w:tcPr>
          <w:p>
            <w:pPr>
              <w:rPr>
                <w:b/>
                <w:bCs/>
                <w:sz w:val="21"/>
                <w:szCs w:val="21"/>
              </w:rPr>
            </w:pPr>
            <w:r>
              <w:rPr>
                <w:b/>
                <w:bCs/>
                <w:sz w:val="21"/>
                <w:szCs w:val="21"/>
              </w:rPr>
              <w:t xml:space="preserve">邮编：    </w:t>
            </w:r>
          </w:p>
        </w:tc>
        <w:tc>
          <w:tcPr>
            <w:tcW w:w="2906" w:type="dxa"/>
            <w:vAlign w:val="center"/>
          </w:tcPr>
          <w:p>
            <w:pPr>
              <w:rPr>
                <w:b/>
                <w:bCs/>
                <w:sz w:val="21"/>
                <w:szCs w:val="21"/>
              </w:rPr>
            </w:pPr>
            <w:r>
              <w:rPr>
                <w:b/>
                <w:bCs/>
                <w:sz w:val="21"/>
                <w:szCs w:val="21"/>
              </w:rPr>
              <w:t>838202</w:t>
            </w:r>
          </w:p>
        </w:tc>
        <w:tc>
          <w:tcPr>
            <w:tcW w:w="1178" w:type="dxa"/>
            <w:vAlign w:val="center"/>
          </w:tcPr>
          <w:p>
            <w:pPr>
              <w:ind w:left="1054" w:hanging="1054" w:hangingChars="500"/>
              <w:rPr>
                <w:b/>
                <w:bCs/>
                <w:sz w:val="21"/>
                <w:szCs w:val="21"/>
              </w:rPr>
            </w:pPr>
            <w:r>
              <w:rPr>
                <w:b/>
                <w:bCs/>
                <w:sz w:val="21"/>
                <w:szCs w:val="21"/>
              </w:rPr>
              <w:t xml:space="preserve">邮编：  </w:t>
            </w:r>
          </w:p>
        </w:tc>
        <w:tc>
          <w:tcPr>
            <w:tcW w:w="3041" w:type="dxa"/>
            <w:vAlign w:val="center"/>
          </w:tcPr>
          <w:p>
            <w:pPr>
              <w:ind w:left="1054" w:hanging="1054" w:hangingChars="500"/>
              <w:rPr>
                <w:b/>
                <w:bCs/>
                <w:sz w:val="21"/>
                <w:szCs w:val="21"/>
              </w:rPr>
            </w:pPr>
            <w:r>
              <w:rPr>
                <w:b/>
                <w:bCs/>
                <w:sz w:val="21"/>
                <w:szCs w:val="21"/>
              </w:rPr>
              <w:t>830028</w:t>
            </w:r>
          </w:p>
        </w:tc>
      </w:tr>
      <w:tr>
        <w:tblPrEx>
          <w:tblCellMar>
            <w:top w:w="0" w:type="dxa"/>
            <w:left w:w="108" w:type="dxa"/>
            <w:bottom w:w="0" w:type="dxa"/>
            <w:right w:w="108" w:type="dxa"/>
          </w:tblCellMar>
        </w:tblPrEx>
        <w:trPr>
          <w:trHeight w:val="454" w:hRule="atLeast"/>
        </w:trPr>
        <w:tc>
          <w:tcPr>
            <w:tcW w:w="1176" w:type="dxa"/>
            <w:vAlign w:val="center"/>
          </w:tcPr>
          <w:p>
            <w:pPr>
              <w:rPr>
                <w:b/>
                <w:bCs/>
                <w:sz w:val="21"/>
                <w:szCs w:val="21"/>
              </w:rPr>
            </w:pPr>
            <w:r>
              <w:rPr>
                <w:b/>
                <w:bCs/>
                <w:sz w:val="21"/>
                <w:szCs w:val="21"/>
              </w:rPr>
              <w:t xml:space="preserve">地址：   </w:t>
            </w:r>
          </w:p>
        </w:tc>
        <w:tc>
          <w:tcPr>
            <w:tcW w:w="2906" w:type="dxa"/>
            <w:vAlign w:val="center"/>
          </w:tcPr>
          <w:p>
            <w:pPr>
              <w:rPr>
                <w:b/>
                <w:bCs/>
                <w:sz w:val="21"/>
                <w:szCs w:val="21"/>
              </w:rPr>
            </w:pPr>
            <w:r>
              <w:rPr>
                <w:b/>
                <w:bCs/>
                <w:sz w:val="21"/>
                <w:szCs w:val="21"/>
              </w:rPr>
              <w:t>新疆鄯善火车站镇吐哈油田吐鲁番采油厂</w:t>
            </w:r>
          </w:p>
        </w:tc>
        <w:tc>
          <w:tcPr>
            <w:tcW w:w="1178" w:type="dxa"/>
            <w:vAlign w:val="center"/>
          </w:tcPr>
          <w:p>
            <w:pPr>
              <w:ind w:left="5481" w:hanging="5481" w:hangingChars="2600"/>
              <w:rPr>
                <w:b/>
                <w:bCs/>
                <w:sz w:val="21"/>
                <w:szCs w:val="21"/>
              </w:rPr>
            </w:pPr>
            <w:r>
              <w:rPr>
                <w:b/>
                <w:bCs/>
                <w:sz w:val="21"/>
                <w:szCs w:val="21"/>
              </w:rPr>
              <w:t xml:space="preserve">地址：   </w:t>
            </w:r>
          </w:p>
        </w:tc>
        <w:tc>
          <w:tcPr>
            <w:tcW w:w="3041" w:type="dxa"/>
            <w:vAlign w:val="center"/>
          </w:tcPr>
          <w:p>
            <w:pPr>
              <w:rPr>
                <w:b/>
                <w:bCs/>
                <w:sz w:val="21"/>
                <w:szCs w:val="21"/>
              </w:rPr>
            </w:pPr>
            <w:r>
              <w:rPr>
                <w:b/>
                <w:bCs/>
                <w:sz w:val="21"/>
                <w:szCs w:val="21"/>
              </w:rPr>
              <w:t>新疆乌鲁木齐市经济技术开发区沂蒙山街68号</w:t>
            </w:r>
          </w:p>
        </w:tc>
      </w:tr>
    </w:tbl>
    <w:p>
      <w:pPr>
        <w:ind w:firstLine="275" w:firstLineChars="98"/>
        <w:rPr>
          <w:b/>
          <w:bCs/>
          <w:szCs w:val="20"/>
        </w:rPr>
      </w:pPr>
    </w:p>
    <w:p>
      <w:pPr>
        <w:ind w:firstLine="275" w:firstLineChars="98"/>
        <w:rPr>
          <w:b/>
          <w:bCs/>
          <w:szCs w:val="20"/>
        </w:rPr>
      </w:pPr>
    </w:p>
    <w:p>
      <w:pPr>
        <w:jc w:val="center"/>
        <w:rPr>
          <w:b/>
          <w:bCs/>
          <w:szCs w:val="28"/>
        </w:rPr>
      </w:pPr>
      <w:r>
        <w:rPr>
          <w:b/>
          <w:bCs/>
          <w:color w:val="000000"/>
          <w:kern w:val="0"/>
        </w:rPr>
        <w:drawing>
          <wp:inline distT="0" distB="0" distL="114300" distR="114300">
            <wp:extent cx="5313045" cy="8470900"/>
            <wp:effectExtent l="0" t="0" r="1905" b="6350"/>
            <wp:docPr id="23" name="图片 1" descr="QQ图片2017092018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QQ图片20170920184015"/>
                    <pic:cNvPicPr>
                      <a:picLocks noChangeAspect="1"/>
                    </pic:cNvPicPr>
                  </pic:nvPicPr>
                  <pic:blipFill>
                    <a:blip r:embed="rId15"/>
                    <a:srcRect r="3290"/>
                    <a:stretch>
                      <a:fillRect/>
                    </a:stretch>
                  </pic:blipFill>
                  <pic:spPr>
                    <a:xfrm>
                      <a:off x="0" y="0"/>
                      <a:ext cx="5313045" cy="8470900"/>
                    </a:xfrm>
                    <a:prstGeom prst="rect">
                      <a:avLst/>
                    </a:prstGeom>
                    <a:noFill/>
                    <a:ln w="9525">
                      <a:noFill/>
                    </a:ln>
                  </pic:spPr>
                </pic:pic>
              </a:graphicData>
            </a:graphic>
          </wp:inline>
        </w:drawing>
      </w:r>
    </w:p>
    <w:p>
      <w:pPr>
        <w:jc w:val="center"/>
        <w:rPr>
          <w:b/>
          <w:bCs/>
          <w:szCs w:val="20"/>
        </w:rPr>
      </w:pPr>
      <w:r>
        <w:drawing>
          <wp:anchor distT="0" distB="0" distL="114300" distR="114300" simplePos="0" relativeHeight="251670528" behindDoc="0" locked="0" layoutInCell="1" allowOverlap="1">
            <wp:simplePos x="0" y="0"/>
            <wp:positionH relativeFrom="column">
              <wp:posOffset>-271145</wp:posOffset>
            </wp:positionH>
            <wp:positionV relativeFrom="paragraph">
              <wp:posOffset>4354195</wp:posOffset>
            </wp:positionV>
            <wp:extent cx="5678805" cy="4082415"/>
            <wp:effectExtent l="0" t="0" r="17145" b="13335"/>
            <wp:wrapSquare wrapText="bothSides"/>
            <wp:docPr id="25" name="图片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88"/>
                    <pic:cNvPicPr>
                      <a:picLocks noChangeAspect="1"/>
                    </pic:cNvPicPr>
                  </pic:nvPicPr>
                  <pic:blipFill>
                    <a:blip r:embed="rId16"/>
                    <a:srcRect l="2120" t="4166" r="1749" b="4473"/>
                    <a:stretch>
                      <a:fillRect/>
                    </a:stretch>
                  </pic:blipFill>
                  <pic:spPr>
                    <a:xfrm>
                      <a:off x="0" y="0"/>
                      <a:ext cx="5678805" cy="4082415"/>
                    </a:xfrm>
                    <a:prstGeom prst="rect">
                      <a:avLst/>
                    </a:prstGeom>
                    <a:noFill/>
                    <a:ln w="9525">
                      <a:noFill/>
                    </a:ln>
                  </pic:spPr>
                </pic:pic>
              </a:graphicData>
            </a:graphic>
          </wp:anchor>
        </w:drawing>
      </w:r>
      <w:r>
        <w:drawing>
          <wp:anchor distT="0" distB="0" distL="114300" distR="114300" simplePos="0" relativeHeight="251671552" behindDoc="0" locked="0" layoutInCell="1" allowOverlap="1">
            <wp:simplePos x="0" y="0"/>
            <wp:positionH relativeFrom="column">
              <wp:posOffset>-292100</wp:posOffset>
            </wp:positionH>
            <wp:positionV relativeFrom="paragraph">
              <wp:posOffset>335280</wp:posOffset>
            </wp:positionV>
            <wp:extent cx="5727065" cy="3742055"/>
            <wp:effectExtent l="0" t="0" r="6985" b="10795"/>
            <wp:wrapSquare wrapText="bothSides"/>
            <wp:docPr id="26" name="图片 128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89" descr="图片1"/>
                    <pic:cNvPicPr>
                      <a:picLocks noChangeAspect="1"/>
                    </pic:cNvPicPr>
                  </pic:nvPicPr>
                  <pic:blipFill>
                    <a:blip r:embed="rId17">
                      <a:lum bright="6000"/>
                    </a:blip>
                    <a:srcRect l="1607" t="2861" r="1123" b="6728"/>
                    <a:stretch>
                      <a:fillRect/>
                    </a:stretch>
                  </pic:blipFill>
                  <pic:spPr>
                    <a:xfrm>
                      <a:off x="0" y="0"/>
                      <a:ext cx="5727065" cy="3742055"/>
                    </a:xfrm>
                    <a:prstGeom prst="rect">
                      <a:avLst/>
                    </a:prstGeom>
                    <a:noFill/>
                    <a:ln w="9525">
                      <a:noFill/>
                    </a:ln>
                  </pic:spPr>
                </pic:pic>
              </a:graphicData>
            </a:graphic>
          </wp:anchor>
        </w:drawing>
      </w:r>
    </w:p>
    <w:tbl>
      <w:tblPr>
        <w:tblStyle w:val="41"/>
        <w:tblW w:w="85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jc w:val="center"/>
              <w:rPr>
                <w:b/>
                <w:bCs/>
                <w:color w:val="000000"/>
                <w:kern w:val="0"/>
                <w:sz w:val="24"/>
              </w:rPr>
            </w:pPr>
            <w:r>
              <w:rPr>
                <w:rFonts w:hint="eastAsia"/>
                <w:b/>
                <w:bCs/>
                <w:color w:val="000000"/>
                <w:kern w:val="0"/>
                <w:sz w:val="24"/>
              </w:rPr>
              <w:drawing>
                <wp:inline distT="0" distB="0" distL="114300" distR="114300">
                  <wp:extent cx="2454910" cy="2531110"/>
                  <wp:effectExtent l="0" t="0" r="2540" b="2540"/>
                  <wp:docPr id="12" name="图片 12" descr="DSCN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SCN0362"/>
                          <pic:cNvPicPr>
                            <a:picLocks noChangeAspect="1"/>
                          </pic:cNvPicPr>
                        </pic:nvPicPr>
                        <pic:blipFill>
                          <a:blip r:embed="rId18"/>
                          <a:stretch>
                            <a:fillRect/>
                          </a:stretch>
                        </pic:blipFill>
                        <pic:spPr>
                          <a:xfrm>
                            <a:off x="0" y="0"/>
                            <a:ext cx="2454910" cy="2531110"/>
                          </a:xfrm>
                          <a:prstGeom prst="rect">
                            <a:avLst/>
                          </a:prstGeom>
                        </pic:spPr>
                      </pic:pic>
                    </a:graphicData>
                  </a:graphic>
                </wp:inline>
              </w:drawing>
            </w:r>
          </w:p>
        </w:tc>
        <w:tc>
          <w:tcPr>
            <w:tcW w:w="4262" w:type="dxa"/>
          </w:tcPr>
          <w:p>
            <w:pPr>
              <w:jc w:val="center"/>
              <w:rPr>
                <w:b/>
                <w:bCs/>
                <w:color w:val="000000"/>
                <w:kern w:val="0"/>
                <w:sz w:val="24"/>
              </w:rPr>
            </w:pPr>
            <w:r>
              <w:rPr>
                <w:rFonts w:hint="eastAsia"/>
                <w:b/>
                <w:bCs/>
                <w:color w:val="000000"/>
                <w:kern w:val="0"/>
                <w:sz w:val="24"/>
              </w:rPr>
              <w:drawing>
                <wp:inline distT="0" distB="0" distL="114300" distR="114300">
                  <wp:extent cx="2555875" cy="2504440"/>
                  <wp:effectExtent l="0" t="0" r="15875" b="10160"/>
                  <wp:docPr id="10" name="图片 10" descr="DSCN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N0366"/>
                          <pic:cNvPicPr>
                            <a:picLocks noChangeAspect="1"/>
                          </pic:cNvPicPr>
                        </pic:nvPicPr>
                        <pic:blipFill>
                          <a:blip r:embed="rId19"/>
                          <a:stretch>
                            <a:fillRect/>
                          </a:stretch>
                        </pic:blipFill>
                        <pic:spPr>
                          <a:xfrm>
                            <a:off x="0" y="0"/>
                            <a:ext cx="2555875" cy="25044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trPr>
        <w:tc>
          <w:tcPr>
            <w:tcW w:w="4261" w:type="dxa"/>
          </w:tcPr>
          <w:p>
            <w:pPr>
              <w:jc w:val="center"/>
              <w:rPr>
                <w:b/>
                <w:bCs/>
                <w:color w:val="000000"/>
                <w:kern w:val="0"/>
                <w:sz w:val="24"/>
              </w:rPr>
            </w:pPr>
            <w:r>
              <w:rPr>
                <w:rFonts w:hint="eastAsia"/>
                <w:b/>
                <w:bCs/>
                <w:color w:val="000000"/>
                <w:kern w:val="0"/>
                <w:sz w:val="24"/>
              </w:rPr>
              <w:t>沉淀池</w:t>
            </w:r>
          </w:p>
        </w:tc>
        <w:tc>
          <w:tcPr>
            <w:tcW w:w="4262" w:type="dxa"/>
          </w:tcPr>
          <w:p>
            <w:pPr>
              <w:jc w:val="center"/>
              <w:rPr>
                <w:b/>
                <w:bCs/>
                <w:color w:val="000000"/>
                <w:kern w:val="0"/>
                <w:sz w:val="24"/>
              </w:rPr>
            </w:pPr>
            <w:r>
              <w:rPr>
                <w:rFonts w:hint="eastAsia"/>
                <w:b/>
                <w:bCs/>
                <w:color w:val="000000"/>
                <w:kern w:val="0"/>
                <w:sz w:val="24"/>
              </w:rPr>
              <w:t>调节池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jc w:val="center"/>
              <w:rPr>
                <w:b/>
                <w:bCs/>
                <w:color w:val="000000"/>
                <w:kern w:val="0"/>
                <w:sz w:val="24"/>
              </w:rPr>
            </w:pPr>
            <w:r>
              <w:rPr>
                <w:rFonts w:hint="eastAsia"/>
                <w:b/>
                <w:bCs/>
                <w:color w:val="000000"/>
                <w:kern w:val="0"/>
                <w:sz w:val="24"/>
              </w:rPr>
              <w:drawing>
                <wp:inline distT="0" distB="0" distL="114300" distR="114300">
                  <wp:extent cx="2472690" cy="2289175"/>
                  <wp:effectExtent l="0" t="0" r="3810" b="15875"/>
                  <wp:docPr id="13" name="图片 13" descr="DSCN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SCN0369"/>
                          <pic:cNvPicPr>
                            <a:picLocks noChangeAspect="1"/>
                          </pic:cNvPicPr>
                        </pic:nvPicPr>
                        <pic:blipFill>
                          <a:blip r:embed="rId20"/>
                          <a:stretch>
                            <a:fillRect/>
                          </a:stretch>
                        </pic:blipFill>
                        <pic:spPr>
                          <a:xfrm>
                            <a:off x="0" y="0"/>
                            <a:ext cx="2472690" cy="2289175"/>
                          </a:xfrm>
                          <a:prstGeom prst="rect">
                            <a:avLst/>
                          </a:prstGeom>
                        </pic:spPr>
                      </pic:pic>
                    </a:graphicData>
                  </a:graphic>
                </wp:inline>
              </w:drawing>
            </w:r>
          </w:p>
        </w:tc>
        <w:tc>
          <w:tcPr>
            <w:tcW w:w="4262" w:type="dxa"/>
          </w:tcPr>
          <w:p>
            <w:pPr>
              <w:jc w:val="center"/>
              <w:rPr>
                <w:b/>
                <w:bCs/>
                <w:color w:val="000000"/>
                <w:kern w:val="0"/>
                <w:sz w:val="24"/>
              </w:rPr>
            </w:pPr>
            <w:r>
              <w:rPr>
                <w:rFonts w:hint="eastAsia"/>
                <w:b/>
                <w:bCs/>
                <w:color w:val="000000"/>
                <w:kern w:val="0"/>
                <w:sz w:val="24"/>
              </w:rPr>
              <w:drawing>
                <wp:inline distT="0" distB="0" distL="114300" distR="114300">
                  <wp:extent cx="2503170" cy="2299335"/>
                  <wp:effectExtent l="0" t="0" r="11430" b="5715"/>
                  <wp:docPr id="14" name="图片 14" descr="DSCN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N0376"/>
                          <pic:cNvPicPr>
                            <a:picLocks noChangeAspect="1"/>
                          </pic:cNvPicPr>
                        </pic:nvPicPr>
                        <pic:blipFill>
                          <a:blip r:embed="rId21"/>
                          <a:stretch>
                            <a:fillRect/>
                          </a:stretch>
                        </pic:blipFill>
                        <pic:spPr>
                          <a:xfrm>
                            <a:off x="0" y="0"/>
                            <a:ext cx="2503170" cy="22993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 w:hRule="atLeast"/>
        </w:trPr>
        <w:tc>
          <w:tcPr>
            <w:tcW w:w="4261" w:type="dxa"/>
          </w:tcPr>
          <w:p>
            <w:pPr>
              <w:jc w:val="center"/>
              <w:rPr>
                <w:b/>
                <w:bCs/>
                <w:color w:val="000000"/>
                <w:kern w:val="0"/>
                <w:sz w:val="24"/>
              </w:rPr>
            </w:pPr>
            <w:r>
              <w:rPr>
                <w:rFonts w:hint="eastAsia"/>
                <w:b/>
                <w:bCs/>
                <w:color w:val="000000"/>
                <w:kern w:val="0"/>
                <w:sz w:val="24"/>
              </w:rPr>
              <w:t>生化池</w:t>
            </w:r>
          </w:p>
        </w:tc>
        <w:tc>
          <w:tcPr>
            <w:tcW w:w="4262" w:type="dxa"/>
          </w:tcPr>
          <w:p>
            <w:pPr>
              <w:jc w:val="center"/>
              <w:rPr>
                <w:b/>
                <w:bCs/>
                <w:color w:val="000000"/>
                <w:kern w:val="0"/>
                <w:sz w:val="24"/>
              </w:rPr>
            </w:pPr>
            <w:r>
              <w:rPr>
                <w:rFonts w:hint="eastAsia"/>
                <w:b/>
                <w:bCs/>
                <w:color w:val="000000"/>
                <w:kern w:val="0"/>
                <w:sz w:val="24"/>
              </w:rPr>
              <w:t>隔油池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jc w:val="center"/>
              <w:rPr>
                <w:b/>
                <w:bCs/>
                <w:color w:val="000000"/>
                <w:kern w:val="0"/>
                <w:sz w:val="24"/>
              </w:rPr>
            </w:pPr>
            <w:r>
              <w:rPr>
                <w:rFonts w:hint="eastAsia"/>
                <w:b/>
                <w:bCs/>
                <w:color w:val="000000"/>
                <w:kern w:val="0"/>
                <w:sz w:val="24"/>
              </w:rPr>
              <w:drawing>
                <wp:inline distT="0" distB="0" distL="114300" distR="114300">
                  <wp:extent cx="2555875" cy="2447925"/>
                  <wp:effectExtent l="0" t="0" r="15875" b="9525"/>
                  <wp:docPr id="9" name="图片 9" descr="DSCN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SCN0414"/>
                          <pic:cNvPicPr>
                            <a:picLocks noChangeAspect="1"/>
                          </pic:cNvPicPr>
                        </pic:nvPicPr>
                        <pic:blipFill>
                          <a:blip r:embed="rId22"/>
                          <a:stretch>
                            <a:fillRect/>
                          </a:stretch>
                        </pic:blipFill>
                        <pic:spPr>
                          <a:xfrm>
                            <a:off x="0" y="0"/>
                            <a:ext cx="2555875" cy="2447925"/>
                          </a:xfrm>
                          <a:prstGeom prst="rect">
                            <a:avLst/>
                          </a:prstGeom>
                        </pic:spPr>
                      </pic:pic>
                    </a:graphicData>
                  </a:graphic>
                </wp:inline>
              </w:drawing>
            </w:r>
          </w:p>
        </w:tc>
        <w:tc>
          <w:tcPr>
            <w:tcW w:w="4262" w:type="dxa"/>
          </w:tcPr>
          <w:p>
            <w:pPr>
              <w:jc w:val="center"/>
              <w:rPr>
                <w:b/>
                <w:bCs/>
                <w:color w:val="000000"/>
                <w:kern w:val="0"/>
                <w:sz w:val="24"/>
              </w:rPr>
            </w:pPr>
            <w:r>
              <w:rPr>
                <w:rFonts w:hint="eastAsia"/>
                <w:b/>
                <w:bCs/>
                <w:color w:val="000000"/>
                <w:kern w:val="0"/>
                <w:sz w:val="24"/>
              </w:rPr>
              <w:drawing>
                <wp:inline distT="0" distB="0" distL="114300" distR="114300">
                  <wp:extent cx="2555875" cy="2512060"/>
                  <wp:effectExtent l="0" t="0" r="15875" b="2540"/>
                  <wp:docPr id="22" name="图片 22" descr="DSCN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SCN0364"/>
                          <pic:cNvPicPr>
                            <a:picLocks noChangeAspect="1"/>
                          </pic:cNvPicPr>
                        </pic:nvPicPr>
                        <pic:blipFill>
                          <a:blip r:embed="rId23"/>
                          <a:stretch>
                            <a:fillRect/>
                          </a:stretch>
                        </pic:blipFill>
                        <pic:spPr>
                          <a:xfrm>
                            <a:off x="0" y="0"/>
                            <a:ext cx="2555875" cy="25120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jc w:val="center"/>
              <w:rPr>
                <w:b/>
                <w:bCs/>
                <w:color w:val="000000"/>
                <w:kern w:val="0"/>
                <w:sz w:val="24"/>
              </w:rPr>
            </w:pPr>
            <w:r>
              <w:rPr>
                <w:rFonts w:hint="eastAsia"/>
                <w:b/>
                <w:bCs/>
                <w:color w:val="000000"/>
                <w:kern w:val="0"/>
                <w:sz w:val="24"/>
              </w:rPr>
              <w:t>职业健康警示牌</w:t>
            </w:r>
          </w:p>
        </w:tc>
        <w:tc>
          <w:tcPr>
            <w:tcW w:w="4262" w:type="dxa"/>
          </w:tcPr>
          <w:p>
            <w:pPr>
              <w:jc w:val="center"/>
              <w:rPr>
                <w:b/>
                <w:bCs/>
                <w:color w:val="000000"/>
                <w:kern w:val="0"/>
                <w:sz w:val="24"/>
              </w:rPr>
            </w:pPr>
            <w:r>
              <w:rPr>
                <w:rFonts w:hint="eastAsia"/>
                <w:b/>
                <w:bCs/>
                <w:color w:val="000000"/>
                <w:kern w:val="0"/>
                <w:sz w:val="24"/>
              </w:rPr>
              <w:t>罗茨风机泵房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3" w:hRule="atLeast"/>
        </w:trPr>
        <w:tc>
          <w:tcPr>
            <w:tcW w:w="4261" w:type="dxa"/>
          </w:tcPr>
          <w:p>
            <w:pPr>
              <w:jc w:val="center"/>
              <w:rPr>
                <w:b/>
                <w:bCs/>
                <w:color w:val="000000"/>
                <w:kern w:val="0"/>
                <w:sz w:val="24"/>
              </w:rPr>
            </w:pPr>
            <w:r>
              <w:rPr>
                <w:rFonts w:hint="eastAsia"/>
                <w:b/>
                <w:bCs/>
                <w:color w:val="000000"/>
                <w:kern w:val="0"/>
                <w:sz w:val="24"/>
              </w:rPr>
              <w:drawing>
                <wp:inline distT="0" distB="0" distL="114300" distR="114300">
                  <wp:extent cx="2545080" cy="3394075"/>
                  <wp:effectExtent l="0" t="0" r="7620" b="15875"/>
                  <wp:docPr id="2" name="图片 2" descr="IMG2017033109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20170331094057"/>
                          <pic:cNvPicPr>
                            <a:picLocks noChangeAspect="1"/>
                          </pic:cNvPicPr>
                        </pic:nvPicPr>
                        <pic:blipFill>
                          <a:blip r:embed="rId24"/>
                          <a:stretch>
                            <a:fillRect/>
                          </a:stretch>
                        </pic:blipFill>
                        <pic:spPr>
                          <a:xfrm>
                            <a:off x="0" y="0"/>
                            <a:ext cx="2545080" cy="3394075"/>
                          </a:xfrm>
                          <a:prstGeom prst="rect">
                            <a:avLst/>
                          </a:prstGeom>
                        </pic:spPr>
                      </pic:pic>
                    </a:graphicData>
                  </a:graphic>
                </wp:inline>
              </w:drawing>
            </w:r>
          </w:p>
        </w:tc>
        <w:tc>
          <w:tcPr>
            <w:tcW w:w="4262" w:type="dxa"/>
          </w:tcPr>
          <w:p>
            <w:pPr>
              <w:jc w:val="center"/>
              <w:rPr>
                <w:b/>
                <w:bCs/>
                <w:color w:val="000000"/>
                <w:kern w:val="0"/>
                <w:sz w:val="24"/>
              </w:rPr>
            </w:pPr>
            <w:r>
              <w:rPr>
                <w:rFonts w:hint="eastAsia"/>
                <w:b/>
                <w:bCs/>
                <w:color w:val="000000"/>
                <w:kern w:val="0"/>
                <w:sz w:val="24"/>
              </w:rPr>
              <w:drawing>
                <wp:inline distT="0" distB="0" distL="114300" distR="114300">
                  <wp:extent cx="2545080" cy="3394075"/>
                  <wp:effectExtent l="0" t="0" r="7620" b="15875"/>
                  <wp:docPr id="8" name="图片 8" descr="IMG2017033109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20170331094027"/>
                          <pic:cNvPicPr>
                            <a:picLocks noChangeAspect="1"/>
                          </pic:cNvPicPr>
                        </pic:nvPicPr>
                        <pic:blipFill>
                          <a:blip r:embed="rId25"/>
                          <a:stretch>
                            <a:fillRect/>
                          </a:stretch>
                        </pic:blipFill>
                        <pic:spPr>
                          <a:xfrm>
                            <a:off x="0" y="0"/>
                            <a:ext cx="2545080" cy="33940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jc w:val="center"/>
              <w:rPr>
                <w:b/>
                <w:bCs/>
                <w:color w:val="000000"/>
                <w:kern w:val="0"/>
                <w:sz w:val="24"/>
              </w:rPr>
            </w:pPr>
            <w:r>
              <w:rPr>
                <w:rFonts w:hint="eastAsia"/>
                <w:b/>
                <w:bCs/>
                <w:color w:val="000000"/>
                <w:kern w:val="0"/>
                <w:sz w:val="24"/>
              </w:rPr>
              <w:t>施工期临时材料堆放点</w:t>
            </w:r>
          </w:p>
        </w:tc>
        <w:tc>
          <w:tcPr>
            <w:tcW w:w="4262" w:type="dxa"/>
          </w:tcPr>
          <w:p>
            <w:pPr>
              <w:jc w:val="center"/>
              <w:rPr>
                <w:b/>
                <w:bCs/>
                <w:color w:val="000000"/>
                <w:kern w:val="0"/>
                <w:sz w:val="24"/>
              </w:rPr>
            </w:pPr>
            <w:r>
              <w:rPr>
                <w:rFonts w:hint="eastAsia"/>
                <w:b/>
                <w:bCs/>
                <w:color w:val="000000"/>
                <w:kern w:val="0"/>
                <w:sz w:val="24"/>
              </w:rPr>
              <w:t>施工期管道铺设、施工场地界定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jc w:val="center"/>
              <w:rPr>
                <w:b/>
                <w:bCs/>
                <w:color w:val="000000"/>
                <w:kern w:val="0"/>
                <w:sz w:val="24"/>
              </w:rPr>
            </w:pPr>
            <w:r>
              <w:rPr>
                <w:rFonts w:hint="eastAsia"/>
                <w:b/>
                <w:bCs/>
                <w:color w:val="000000"/>
                <w:kern w:val="0"/>
                <w:sz w:val="24"/>
              </w:rPr>
              <w:drawing>
                <wp:inline distT="0" distB="0" distL="114300" distR="114300">
                  <wp:extent cx="2515870" cy="2063750"/>
                  <wp:effectExtent l="0" t="0" r="17780" b="12700"/>
                  <wp:docPr id="3" name="图片 3" descr="IMG2017033109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20170331093912"/>
                          <pic:cNvPicPr>
                            <a:picLocks noChangeAspect="1"/>
                          </pic:cNvPicPr>
                        </pic:nvPicPr>
                        <pic:blipFill>
                          <a:blip r:embed="rId26"/>
                          <a:stretch>
                            <a:fillRect/>
                          </a:stretch>
                        </pic:blipFill>
                        <pic:spPr>
                          <a:xfrm>
                            <a:off x="0" y="0"/>
                            <a:ext cx="2515870" cy="2063750"/>
                          </a:xfrm>
                          <a:prstGeom prst="rect">
                            <a:avLst/>
                          </a:prstGeom>
                        </pic:spPr>
                      </pic:pic>
                    </a:graphicData>
                  </a:graphic>
                </wp:inline>
              </w:drawing>
            </w:r>
          </w:p>
        </w:tc>
        <w:tc>
          <w:tcPr>
            <w:tcW w:w="4262" w:type="dxa"/>
          </w:tcPr>
          <w:p>
            <w:pPr>
              <w:jc w:val="center"/>
              <w:rPr>
                <w:b/>
                <w:bCs/>
                <w:color w:val="000000"/>
                <w:kern w:val="0"/>
                <w:sz w:val="24"/>
              </w:rPr>
            </w:pPr>
            <w:r>
              <w:rPr>
                <w:rFonts w:hint="eastAsia"/>
                <w:b/>
                <w:bCs/>
                <w:color w:val="000000"/>
                <w:kern w:val="0"/>
                <w:sz w:val="24"/>
              </w:rPr>
              <w:drawing>
                <wp:inline distT="0" distB="0" distL="114300" distR="114300">
                  <wp:extent cx="2545080" cy="2064385"/>
                  <wp:effectExtent l="0" t="0" r="7620" b="12065"/>
                  <wp:docPr id="16" name="图片 16" descr="IMG2017033109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20170331094320"/>
                          <pic:cNvPicPr>
                            <a:picLocks noChangeAspect="1"/>
                          </pic:cNvPicPr>
                        </pic:nvPicPr>
                        <pic:blipFill>
                          <a:blip r:embed="rId27"/>
                          <a:srcRect t="23293" b="19925"/>
                          <a:stretch>
                            <a:fillRect/>
                          </a:stretch>
                        </pic:blipFill>
                        <pic:spPr>
                          <a:xfrm>
                            <a:off x="0" y="0"/>
                            <a:ext cx="2545080" cy="20643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jc w:val="center"/>
              <w:rPr>
                <w:b/>
                <w:bCs/>
                <w:color w:val="000000"/>
                <w:kern w:val="0"/>
                <w:sz w:val="24"/>
              </w:rPr>
            </w:pPr>
            <w:r>
              <w:rPr>
                <w:rFonts w:hint="eastAsia"/>
                <w:b/>
                <w:bCs/>
                <w:color w:val="000000"/>
                <w:kern w:val="0"/>
                <w:sz w:val="24"/>
              </w:rPr>
              <w:t>施工期隐蔽工程</w:t>
            </w:r>
          </w:p>
        </w:tc>
        <w:tc>
          <w:tcPr>
            <w:tcW w:w="4262" w:type="dxa"/>
          </w:tcPr>
          <w:p>
            <w:pPr>
              <w:jc w:val="center"/>
              <w:rPr>
                <w:b/>
                <w:bCs/>
                <w:color w:val="000000"/>
                <w:kern w:val="0"/>
                <w:sz w:val="24"/>
              </w:rPr>
            </w:pPr>
            <w:r>
              <w:rPr>
                <w:rFonts w:hint="eastAsia"/>
                <w:b/>
                <w:bCs/>
                <w:color w:val="000000"/>
                <w:kern w:val="0"/>
                <w:sz w:val="24"/>
              </w:rPr>
              <w:t>神泉污水处理站</w:t>
            </w:r>
          </w:p>
        </w:tc>
      </w:tr>
    </w:tbl>
    <w:p>
      <w:pPr>
        <w:rPr>
          <w:b/>
          <w:bCs/>
          <w:color w:val="000000"/>
          <w:kern w:val="0"/>
          <w:sz w:val="24"/>
        </w:rPr>
      </w:pPr>
    </w:p>
    <w:p>
      <w:pPr>
        <w:rPr>
          <w:b/>
          <w:bCs/>
          <w:color w:val="000000"/>
          <w:kern w:val="0"/>
          <w:sz w:val="24"/>
        </w:rPr>
      </w:pPr>
    </w:p>
    <w:p>
      <w:pPr>
        <w:rPr>
          <w:b/>
          <w:bCs/>
          <w:color w:val="000000"/>
          <w:kern w:val="0"/>
          <w:sz w:val="24"/>
        </w:rPr>
      </w:pPr>
    </w:p>
    <w:p>
      <w:pPr>
        <w:rPr>
          <w:b/>
          <w:bCs/>
          <w:color w:val="000000"/>
          <w:kern w:val="0"/>
          <w:sz w:val="24"/>
        </w:rPr>
      </w:pPr>
    </w:p>
    <w:p>
      <w:pPr>
        <w:rPr>
          <w:b/>
          <w:bCs/>
          <w:color w:val="000000"/>
          <w:kern w:val="0"/>
          <w:sz w:val="24"/>
        </w:rPr>
      </w:pPr>
    </w:p>
    <w:p>
      <w:pPr>
        <w:rPr>
          <w:b/>
          <w:bCs/>
          <w:color w:val="000000"/>
          <w:kern w:val="0"/>
          <w:sz w:val="24"/>
        </w:rPr>
      </w:pPr>
    </w:p>
    <w:p>
      <w:pPr>
        <w:rPr>
          <w:b/>
          <w:bCs/>
          <w:color w:val="000000"/>
          <w:kern w:val="0"/>
          <w:sz w:val="24"/>
        </w:rPr>
      </w:pPr>
    </w:p>
    <w:p>
      <w:pPr>
        <w:rPr>
          <w:b/>
          <w:bCs/>
          <w:color w:val="000000"/>
          <w:kern w:val="0"/>
          <w:sz w:val="24"/>
        </w:rPr>
      </w:pPr>
    </w:p>
    <w:p>
      <w:pPr>
        <w:rPr>
          <w:rFonts w:eastAsia="新宋体"/>
          <w:b/>
          <w:bCs/>
          <w:sz w:val="36"/>
          <w:szCs w:val="36"/>
          <w:lang w:val="zh-CN"/>
        </w:rPr>
      </w:pPr>
    </w:p>
    <w:p>
      <w:pPr>
        <w:jc w:val="center"/>
        <w:rPr>
          <w:rFonts w:eastAsia="新宋体"/>
          <w:b/>
          <w:bCs/>
          <w:sz w:val="36"/>
          <w:szCs w:val="36"/>
          <w:lang w:val="zh-CN"/>
        </w:rPr>
      </w:pPr>
      <w:r>
        <w:rPr>
          <w:rFonts w:eastAsia="新宋体"/>
          <w:b/>
          <w:bCs/>
          <w:sz w:val="36"/>
          <w:szCs w:val="36"/>
          <w:lang w:val="zh-CN"/>
        </w:rPr>
        <w:t>目录</w:t>
      </w:r>
      <w:bookmarkEnd w:id="0"/>
      <w:bookmarkEnd w:id="1"/>
      <w:bookmarkEnd w:id="2"/>
      <w:bookmarkEnd w:id="3"/>
      <w:bookmarkEnd w:id="4"/>
      <w:bookmarkEnd w:id="5"/>
      <w:bookmarkEnd w:id="6"/>
      <w:bookmarkEnd w:id="7"/>
      <w:bookmarkEnd w:id="8"/>
      <w:bookmarkStart w:id="13" w:name="_Toc63825929"/>
      <w:bookmarkStart w:id="14" w:name="_Toc73431146"/>
      <w:bookmarkStart w:id="15" w:name="_Toc242855108"/>
      <w:bookmarkStart w:id="16" w:name="_Toc64714062"/>
      <w:bookmarkStart w:id="17" w:name="_Toc68516270"/>
      <w:bookmarkStart w:id="18" w:name="_Toc63588078"/>
      <w:bookmarkStart w:id="19" w:name="_Toc68937046"/>
      <w:bookmarkStart w:id="20" w:name="_Toc56918229"/>
      <w:bookmarkStart w:id="21" w:name="_Toc73183900"/>
      <w:bookmarkStart w:id="22" w:name="_Toc68939303"/>
      <w:bookmarkStart w:id="23" w:name="_Toc230514375"/>
      <w:bookmarkStart w:id="24" w:name="_Toc125120768"/>
    </w:p>
    <w:p>
      <w:pPr>
        <w:pStyle w:val="29"/>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right="0" w:rightChars="0"/>
        <w:textAlignment w:val="auto"/>
      </w:pPr>
      <w:r>
        <w:rPr>
          <w:rFonts w:eastAsia="新宋体"/>
          <w:color w:val="0000FF"/>
          <w:szCs w:val="28"/>
          <w:shd w:val="clear" w:color="FFFFFF" w:fill="D9D9D9"/>
        </w:rPr>
        <w:fldChar w:fldCharType="begin"/>
      </w:r>
      <w:r>
        <w:rPr>
          <w:rFonts w:eastAsia="新宋体"/>
          <w:color w:val="0000FF"/>
          <w:szCs w:val="28"/>
          <w:shd w:val="clear" w:color="FFFFFF" w:fill="D9D9D9"/>
        </w:rPr>
        <w:instrText xml:space="preserve">TOC \o "1-3" \h  \u </w:instrText>
      </w:r>
      <w:r>
        <w:rPr>
          <w:rFonts w:eastAsia="新宋体"/>
          <w:color w:val="0000FF"/>
          <w:szCs w:val="28"/>
          <w:shd w:val="clear" w:color="FFFFFF" w:fill="D9D9D9"/>
        </w:rPr>
        <w:fldChar w:fldCharType="separate"/>
      </w:r>
      <w:r>
        <w:fldChar w:fldCharType="begin"/>
      </w:r>
      <w:r>
        <w:instrText xml:space="preserve"> HYPERLINK \l "_Toc19216" </w:instrText>
      </w:r>
      <w:r>
        <w:fldChar w:fldCharType="separate"/>
      </w:r>
      <w:r>
        <w:rPr>
          <w:rFonts w:hint="eastAsia"/>
          <w:szCs w:val="32"/>
        </w:rPr>
        <w:t>一、</w:t>
      </w:r>
      <w:r>
        <w:rPr>
          <w:szCs w:val="32"/>
        </w:rPr>
        <w:t>前言</w:t>
      </w:r>
      <w:r>
        <w:tab/>
      </w:r>
      <w:r>
        <w:fldChar w:fldCharType="begin"/>
      </w:r>
      <w:r>
        <w:instrText xml:space="preserve"> PAGEREF _Toc19216 </w:instrText>
      </w:r>
      <w:r>
        <w:fldChar w:fldCharType="separate"/>
      </w:r>
      <w:r>
        <w:t>1</w:t>
      </w:r>
      <w:r>
        <w:fldChar w:fldCharType="end"/>
      </w:r>
      <w:r>
        <w:fldChar w:fldCharType="end"/>
      </w:r>
    </w:p>
    <w:p>
      <w:pPr>
        <w:pStyle w:val="29"/>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right="0" w:rightChars="0"/>
        <w:textAlignment w:val="auto"/>
      </w:pPr>
      <w:r>
        <w:fldChar w:fldCharType="begin"/>
      </w:r>
      <w:r>
        <w:instrText xml:space="preserve"> HYPERLINK \l "_Toc29837" </w:instrText>
      </w:r>
      <w:r>
        <w:fldChar w:fldCharType="separate"/>
      </w:r>
      <w:r>
        <w:rPr>
          <w:szCs w:val="32"/>
        </w:rPr>
        <w:t>二、 验收监测依据</w:t>
      </w:r>
      <w:r>
        <w:tab/>
      </w:r>
      <w:r>
        <w:fldChar w:fldCharType="begin"/>
      </w:r>
      <w:r>
        <w:instrText xml:space="preserve"> PAGEREF _Toc29837 </w:instrText>
      </w:r>
      <w:r>
        <w:fldChar w:fldCharType="separate"/>
      </w:r>
      <w:r>
        <w:t>3</w:t>
      </w:r>
      <w:r>
        <w:fldChar w:fldCharType="end"/>
      </w:r>
      <w:r>
        <w:fldChar w:fldCharType="end"/>
      </w:r>
    </w:p>
    <w:p>
      <w:pPr>
        <w:pStyle w:val="29"/>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right="0" w:rightChars="0"/>
        <w:textAlignment w:val="auto"/>
      </w:pPr>
      <w:r>
        <w:fldChar w:fldCharType="begin"/>
      </w:r>
      <w:r>
        <w:instrText xml:space="preserve"> HYPERLINK \l "_Toc12934" </w:instrText>
      </w:r>
      <w:r>
        <w:fldChar w:fldCharType="separate"/>
      </w:r>
      <w:r>
        <w:rPr>
          <w:szCs w:val="32"/>
        </w:rPr>
        <w:t>三、</w:t>
      </w:r>
      <w:r>
        <w:rPr>
          <w:rFonts w:hint="eastAsia"/>
          <w:szCs w:val="32"/>
        </w:rPr>
        <w:t>建设项目</w:t>
      </w:r>
      <w:r>
        <w:rPr>
          <w:szCs w:val="32"/>
        </w:rPr>
        <w:t>工程概况</w:t>
      </w:r>
      <w:r>
        <w:tab/>
      </w:r>
      <w:r>
        <w:fldChar w:fldCharType="begin"/>
      </w:r>
      <w:r>
        <w:instrText xml:space="preserve"> PAGEREF _Toc12934 </w:instrText>
      </w:r>
      <w:r>
        <w:fldChar w:fldCharType="separate"/>
      </w:r>
      <w:r>
        <w:t>4</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"_Toc27130" </w:instrText>
      </w:r>
      <w:r>
        <w:fldChar w:fldCharType="separate"/>
      </w:r>
      <w:r>
        <w:rPr>
          <w:bCs/>
          <w:szCs w:val="32"/>
        </w:rPr>
        <w:t>3.1地理位置及</w:t>
      </w:r>
      <w:r>
        <w:rPr>
          <w:rFonts w:hint="eastAsia"/>
          <w:bCs/>
          <w:szCs w:val="32"/>
        </w:rPr>
        <w:t>厂址概况</w:t>
      </w:r>
      <w:r>
        <w:tab/>
      </w:r>
      <w:r>
        <w:fldChar w:fldCharType="begin"/>
      </w:r>
      <w:r>
        <w:instrText xml:space="preserve"> PAGEREF _Toc27130 </w:instrText>
      </w:r>
      <w:r>
        <w:fldChar w:fldCharType="separate"/>
      </w:r>
      <w:r>
        <w:t>4</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"_Toc19826" </w:instrText>
      </w:r>
      <w:r>
        <w:fldChar w:fldCharType="separate"/>
      </w:r>
      <w:r>
        <w:rPr>
          <w:rFonts w:hint="eastAsia"/>
          <w:szCs w:val="32"/>
        </w:rPr>
        <w:t>3.2</w:t>
      </w:r>
      <w:r>
        <w:rPr>
          <w:szCs w:val="32"/>
        </w:rPr>
        <w:t>项目建设内容</w:t>
      </w:r>
      <w:r>
        <w:tab/>
      </w:r>
      <w:r>
        <w:fldChar w:fldCharType="begin"/>
      </w:r>
      <w:r>
        <w:instrText xml:space="preserve"> PAGEREF _Toc19826 </w:instrText>
      </w:r>
      <w:r>
        <w:fldChar w:fldCharType="separate"/>
      </w:r>
      <w:r>
        <w:t>4</w:t>
      </w:r>
      <w:r>
        <w:fldChar w:fldCharType="end"/>
      </w:r>
      <w:r>
        <w:fldChar w:fldCharType="end"/>
      </w:r>
    </w:p>
    <w:p>
      <w:pPr>
        <w:pStyle w:val="21"/>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0" w:leftChars="0" w:right="0" w:rightChars="0" w:firstLine="560" w:firstLineChars="200"/>
        <w:textAlignment w:val="auto"/>
      </w:pPr>
      <w:r>
        <w:fldChar w:fldCharType="begin"/>
      </w:r>
      <w:r>
        <w:instrText xml:space="preserve"> HYPERLINK \l "_Toc17451" </w:instrText>
      </w:r>
      <w:r>
        <w:fldChar w:fldCharType="separate"/>
      </w:r>
      <w:r>
        <w:rPr>
          <w:rFonts w:hint="eastAsia"/>
          <w:szCs w:val="36"/>
        </w:rPr>
        <w:t>3.3</w:t>
      </w:r>
      <w:r>
        <w:rPr>
          <w:szCs w:val="36"/>
        </w:rPr>
        <w:t>主要</w:t>
      </w:r>
      <w:r>
        <w:rPr>
          <w:szCs w:val="36"/>
          <w:lang w:val="zh-CN"/>
        </w:rPr>
        <w:t>设备</w:t>
      </w:r>
      <w:r>
        <w:tab/>
      </w:r>
      <w:r>
        <w:fldChar w:fldCharType="begin"/>
      </w:r>
      <w:r>
        <w:instrText xml:space="preserve"> PAGEREF _Toc17451 </w:instrText>
      </w:r>
      <w:r>
        <w:fldChar w:fldCharType="separate"/>
      </w:r>
      <w:r>
        <w:t>8</w:t>
      </w:r>
      <w:r>
        <w:fldChar w:fldCharType="end"/>
      </w:r>
      <w:r>
        <w:fldChar w:fldCharType="end"/>
      </w:r>
    </w:p>
    <w:p>
      <w:pPr>
        <w:pStyle w:val="21"/>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0" w:leftChars="0" w:right="0" w:rightChars="0" w:firstLine="560" w:firstLineChars="200"/>
        <w:textAlignment w:val="auto"/>
      </w:pPr>
      <w:r>
        <w:fldChar w:fldCharType="begin"/>
      </w:r>
      <w:r>
        <w:instrText xml:space="preserve"> HYPERLINK \l "_Toc14495" </w:instrText>
      </w:r>
      <w:r>
        <w:fldChar w:fldCharType="separate"/>
      </w:r>
      <w:r>
        <w:rPr>
          <w:rFonts w:hint="eastAsia"/>
          <w:szCs w:val="32"/>
        </w:rPr>
        <w:t>3.4原辅材料消耗表</w:t>
      </w:r>
      <w:r>
        <w:tab/>
      </w:r>
      <w:r>
        <w:fldChar w:fldCharType="begin"/>
      </w:r>
      <w:r>
        <w:instrText xml:space="preserve"> PAGEREF _Toc14495 </w:instrText>
      </w:r>
      <w:r>
        <w:fldChar w:fldCharType="separate"/>
      </w:r>
      <w:r>
        <w:t>8</w:t>
      </w:r>
      <w:r>
        <w:fldChar w:fldCharType="end"/>
      </w:r>
      <w:r>
        <w:fldChar w:fldCharType="end"/>
      </w:r>
    </w:p>
    <w:p>
      <w:pPr>
        <w:pStyle w:val="21"/>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0" w:leftChars="0" w:right="0" w:rightChars="0" w:firstLine="560" w:firstLineChars="200"/>
        <w:textAlignment w:val="auto"/>
      </w:pPr>
      <w:r>
        <w:fldChar w:fldCharType="begin"/>
      </w:r>
      <w:r>
        <w:instrText xml:space="preserve"> HYPERLINK \l "_Toc23305" </w:instrText>
      </w:r>
      <w:r>
        <w:fldChar w:fldCharType="separate"/>
      </w:r>
      <w:r>
        <w:rPr>
          <w:rFonts w:hint="eastAsia"/>
          <w:szCs w:val="32"/>
        </w:rPr>
        <w:t>3.5</w:t>
      </w:r>
      <w:r>
        <w:rPr>
          <w:szCs w:val="32"/>
        </w:rPr>
        <w:t>公共设施</w:t>
      </w:r>
      <w:r>
        <w:tab/>
      </w:r>
      <w:r>
        <w:fldChar w:fldCharType="begin"/>
      </w:r>
      <w:r>
        <w:instrText xml:space="preserve"> PAGEREF _Toc23305 </w:instrText>
      </w:r>
      <w:r>
        <w:fldChar w:fldCharType="separate"/>
      </w:r>
      <w:r>
        <w:t>9</w:t>
      </w:r>
      <w:r>
        <w:fldChar w:fldCharType="end"/>
      </w:r>
      <w:r>
        <w:fldChar w:fldCharType="end"/>
      </w:r>
    </w:p>
    <w:p>
      <w:pPr>
        <w:pStyle w:val="21"/>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0" w:leftChars="0" w:right="0" w:rightChars="0" w:firstLine="560" w:firstLineChars="200"/>
        <w:textAlignment w:val="auto"/>
      </w:pPr>
      <w:r>
        <w:fldChar w:fldCharType="begin"/>
      </w:r>
      <w:r>
        <w:instrText xml:space="preserve"> HYPERLINK \l "_Toc2480" </w:instrText>
      </w:r>
      <w:r>
        <w:fldChar w:fldCharType="separate"/>
      </w:r>
      <w:r>
        <w:rPr>
          <w:rFonts w:hint="eastAsia"/>
          <w:bCs/>
          <w:spacing w:val="8"/>
          <w:szCs w:val="28"/>
        </w:rPr>
        <w:t>3.6</w:t>
      </w:r>
      <w:r>
        <w:rPr>
          <w:bCs/>
          <w:spacing w:val="8"/>
          <w:szCs w:val="28"/>
        </w:rPr>
        <w:t>生产人员及周期</w:t>
      </w:r>
      <w:r>
        <w:tab/>
      </w:r>
      <w:r>
        <w:fldChar w:fldCharType="begin"/>
      </w:r>
      <w:r>
        <w:instrText xml:space="preserve"> PAGEREF _Toc2480 </w:instrText>
      </w:r>
      <w:r>
        <w:fldChar w:fldCharType="separate"/>
      </w:r>
      <w:r>
        <w:t>9</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"_Toc15483" </w:instrText>
      </w:r>
      <w:r>
        <w:fldChar w:fldCharType="separate"/>
      </w:r>
      <w:r>
        <w:rPr>
          <w:rFonts w:hint="eastAsia"/>
          <w:bCs/>
          <w:szCs w:val="32"/>
        </w:rPr>
        <w:t>3.7技改工艺流程</w:t>
      </w:r>
      <w:r>
        <w:tab/>
      </w:r>
      <w:r>
        <w:fldChar w:fldCharType="begin"/>
      </w:r>
      <w:r>
        <w:instrText xml:space="preserve"> PAGEREF _Toc15483 </w:instrText>
      </w:r>
      <w:r>
        <w:fldChar w:fldCharType="separate"/>
      </w:r>
      <w:r>
        <w:t>10</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"_Toc26616" </w:instrText>
      </w:r>
      <w:r>
        <w:fldChar w:fldCharType="separate"/>
      </w:r>
      <w:r>
        <w:rPr>
          <w:rFonts w:hint="eastAsia"/>
          <w:szCs w:val="32"/>
        </w:rPr>
        <w:t>3.8 主要污染物产生及其治理措施</w:t>
      </w:r>
      <w:r>
        <w:tab/>
      </w:r>
      <w:r>
        <w:fldChar w:fldCharType="begin"/>
      </w:r>
      <w:r>
        <w:instrText xml:space="preserve"> PAGEREF _Toc26616 </w:instrText>
      </w:r>
      <w:r>
        <w:fldChar w:fldCharType="separate"/>
      </w:r>
      <w:r>
        <w:t>13</w:t>
      </w:r>
      <w:r>
        <w:fldChar w:fldCharType="end"/>
      </w:r>
      <w:r>
        <w:fldChar w:fldCharType="end"/>
      </w:r>
    </w:p>
    <w:p>
      <w:pPr>
        <w:pStyle w:val="29"/>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right="0" w:rightChars="0"/>
        <w:textAlignment w:val="auto"/>
      </w:pPr>
      <w:r>
        <w:fldChar w:fldCharType="begin"/>
      </w:r>
      <w:r>
        <w:instrText xml:space="preserve"> HYPERLINK \l "_Toc26034" </w:instrText>
      </w:r>
      <w:r>
        <w:fldChar w:fldCharType="separate"/>
      </w:r>
      <w:r>
        <w:rPr>
          <w:rFonts w:hint="eastAsia"/>
        </w:rPr>
        <w:t>四</w:t>
      </w:r>
      <w:r>
        <w:t>、环评结论和环评批复要求</w:t>
      </w:r>
      <w:r>
        <w:tab/>
      </w:r>
      <w:r>
        <w:fldChar w:fldCharType="begin"/>
      </w:r>
      <w:r>
        <w:instrText xml:space="preserve"> PAGEREF _Toc26034 </w:instrText>
      </w:r>
      <w:r>
        <w:fldChar w:fldCharType="separate"/>
      </w:r>
      <w:r>
        <w:t>15</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"_Toc9153" </w:instrText>
      </w:r>
      <w:r>
        <w:fldChar w:fldCharType="separate"/>
      </w:r>
      <w:r>
        <w:rPr>
          <w:rFonts w:hint="eastAsia"/>
          <w:bCs/>
          <w:szCs w:val="32"/>
        </w:rPr>
        <w:t>4</w:t>
      </w:r>
      <w:r>
        <w:rPr>
          <w:bCs/>
          <w:szCs w:val="32"/>
        </w:rPr>
        <w:t>.1 环评主要结论及建议</w:t>
      </w:r>
      <w:r>
        <w:tab/>
      </w:r>
      <w:bookmarkStart w:id="432" w:name="_GoBack"/>
      <w:bookmarkEnd w:id="432"/>
      <w:r>
        <w:fldChar w:fldCharType="begin"/>
      </w:r>
      <w:r>
        <w:instrText xml:space="preserve"> PAGEREF _Toc9153 </w:instrText>
      </w:r>
      <w:r>
        <w:fldChar w:fldCharType="separate"/>
      </w:r>
      <w:r>
        <w:t>15</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"_Toc11820" </w:instrText>
      </w:r>
      <w:r>
        <w:fldChar w:fldCharType="separate"/>
      </w:r>
      <w:r>
        <w:rPr>
          <w:rFonts w:hint="eastAsia"/>
          <w:bCs/>
          <w:szCs w:val="32"/>
        </w:rPr>
        <w:t>4</w:t>
      </w:r>
      <w:r>
        <w:rPr>
          <w:bCs/>
          <w:szCs w:val="32"/>
        </w:rPr>
        <w:t>.2环评批复要求</w:t>
      </w:r>
      <w:r>
        <w:tab/>
      </w:r>
      <w:r>
        <w:fldChar w:fldCharType="begin"/>
      </w:r>
      <w:r>
        <w:instrText xml:space="preserve"> PAGEREF _Toc11820 </w:instrText>
      </w:r>
      <w:r>
        <w:fldChar w:fldCharType="separate"/>
      </w:r>
      <w:r>
        <w:t>17</w:t>
      </w:r>
      <w:r>
        <w:fldChar w:fldCharType="end"/>
      </w:r>
      <w:r>
        <w:fldChar w:fldCharType="end"/>
      </w:r>
    </w:p>
    <w:p>
      <w:pPr>
        <w:pStyle w:val="29"/>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right="0" w:rightChars="0"/>
        <w:textAlignment w:val="auto"/>
      </w:pPr>
      <w:r>
        <w:fldChar w:fldCharType="begin"/>
      </w:r>
      <w:r>
        <w:instrText xml:space="preserve"> HYPERLINK \l "_Toc7290" </w:instrText>
      </w:r>
      <w:r>
        <w:fldChar w:fldCharType="separate"/>
      </w:r>
      <w:r>
        <w:rPr>
          <w:rFonts w:hint="eastAsia"/>
        </w:rPr>
        <w:t>五</w:t>
      </w:r>
      <w:r>
        <w:t>、验收监测评价标准</w:t>
      </w:r>
      <w:r>
        <w:tab/>
      </w:r>
      <w:r>
        <w:fldChar w:fldCharType="begin"/>
      </w:r>
      <w:r>
        <w:instrText xml:space="preserve"> PAGEREF _Toc7290 </w:instrText>
      </w:r>
      <w:r>
        <w:fldChar w:fldCharType="separate"/>
      </w:r>
      <w:r>
        <w:t>20</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"_Toc1144" </w:instrText>
      </w:r>
      <w:r>
        <w:fldChar w:fldCharType="separate"/>
      </w:r>
      <w:r>
        <w:rPr>
          <w:rFonts w:hint="eastAsia"/>
          <w:bCs/>
          <w:szCs w:val="28"/>
        </w:rPr>
        <w:t>5</w:t>
      </w:r>
      <w:r>
        <w:rPr>
          <w:bCs/>
          <w:szCs w:val="28"/>
        </w:rPr>
        <w:t>.</w:t>
      </w:r>
      <w:r>
        <w:rPr>
          <w:rFonts w:hint="eastAsia"/>
          <w:bCs/>
          <w:szCs w:val="28"/>
          <w:lang w:val="en-US" w:eastAsia="zh-CN"/>
        </w:rPr>
        <w:t>1</w:t>
      </w:r>
      <w:r>
        <w:rPr>
          <w:bCs/>
          <w:szCs w:val="28"/>
        </w:rPr>
        <w:t>噪声</w:t>
      </w:r>
      <w:r>
        <w:tab/>
      </w:r>
      <w:r>
        <w:fldChar w:fldCharType="begin"/>
      </w:r>
      <w:r>
        <w:instrText xml:space="preserve"> PAGEREF _Toc1144 </w:instrText>
      </w:r>
      <w:r>
        <w:fldChar w:fldCharType="separate"/>
      </w:r>
      <w:r>
        <w:t>20</w:t>
      </w:r>
      <w:r>
        <w:fldChar w:fldCharType="end"/>
      </w:r>
      <w:r>
        <w:fldChar w:fldCharType="end"/>
      </w:r>
    </w:p>
    <w:p>
      <w:pPr>
        <w:pStyle w:val="29"/>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right="0" w:rightChars="0"/>
        <w:textAlignment w:val="auto"/>
      </w:pPr>
      <w:r>
        <w:fldChar w:fldCharType="begin"/>
      </w:r>
      <w:r>
        <w:instrText xml:space="preserve"> HYPERLINK \l "_Toc31625" </w:instrText>
      </w:r>
      <w:r>
        <w:fldChar w:fldCharType="separate"/>
      </w:r>
      <w:r>
        <w:rPr>
          <w:rFonts w:hint="eastAsia"/>
          <w:szCs w:val="32"/>
        </w:rPr>
        <w:t>六</w:t>
      </w:r>
      <w:r>
        <w:rPr>
          <w:szCs w:val="32"/>
        </w:rPr>
        <w:t>、</w:t>
      </w:r>
      <w:r>
        <w:rPr>
          <w:rFonts w:hint="eastAsia"/>
          <w:szCs w:val="32"/>
        </w:rPr>
        <w:t>监测分析方法及质量保证</w:t>
      </w:r>
      <w:r>
        <w:tab/>
      </w:r>
      <w:r>
        <w:fldChar w:fldCharType="begin"/>
      </w:r>
      <w:r>
        <w:instrText xml:space="preserve"> PAGEREF _Toc31625 </w:instrText>
      </w:r>
      <w:r>
        <w:fldChar w:fldCharType="separate"/>
      </w:r>
      <w:r>
        <w:t>21</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"_Toc17494" </w:instrText>
      </w:r>
      <w:r>
        <w:fldChar w:fldCharType="separate"/>
      </w:r>
      <w:r>
        <w:rPr>
          <w:rFonts w:hint="eastAsia"/>
          <w:bCs/>
          <w:szCs w:val="28"/>
        </w:rPr>
        <w:t>6.1 监测分析方法</w:t>
      </w:r>
      <w:r>
        <w:tab/>
      </w:r>
      <w:r>
        <w:fldChar w:fldCharType="begin"/>
      </w:r>
      <w:r>
        <w:instrText xml:space="preserve"> PAGEREF _Toc17494 </w:instrText>
      </w:r>
      <w:r>
        <w:fldChar w:fldCharType="separate"/>
      </w:r>
      <w:r>
        <w:t>21</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"_Toc32549" </w:instrText>
      </w:r>
      <w:r>
        <w:fldChar w:fldCharType="separate"/>
      </w:r>
      <w:r>
        <w:rPr>
          <w:rFonts w:hint="eastAsia"/>
          <w:bCs/>
          <w:szCs w:val="28"/>
        </w:rPr>
        <w:t>6.2 验收监测仪器</w:t>
      </w:r>
      <w:r>
        <w:tab/>
      </w:r>
      <w:r>
        <w:fldChar w:fldCharType="begin"/>
      </w:r>
      <w:r>
        <w:instrText xml:space="preserve"> PAGEREF _Toc32549 </w:instrText>
      </w:r>
      <w:r>
        <w:fldChar w:fldCharType="separate"/>
      </w:r>
      <w:r>
        <w:t>21</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"_Toc29061" </w:instrText>
      </w:r>
      <w:r>
        <w:fldChar w:fldCharType="separate"/>
      </w:r>
      <w:r>
        <w:rPr>
          <w:rFonts w:hint="eastAsia"/>
          <w:bCs/>
          <w:szCs w:val="28"/>
        </w:rPr>
        <w:t>6.3质量控制与质量保证</w:t>
      </w:r>
      <w:r>
        <w:tab/>
      </w:r>
      <w:r>
        <w:fldChar w:fldCharType="begin"/>
      </w:r>
      <w:r>
        <w:instrText xml:space="preserve"> PAGEREF _Toc29061 </w:instrText>
      </w:r>
      <w:r>
        <w:fldChar w:fldCharType="separate"/>
      </w:r>
      <w:r>
        <w:t>21</w:t>
      </w:r>
      <w:r>
        <w:fldChar w:fldCharType="end"/>
      </w:r>
      <w:r>
        <w:fldChar w:fldCharType="end"/>
      </w:r>
    </w:p>
    <w:p>
      <w:pPr>
        <w:pStyle w:val="29"/>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right="0" w:rightChars="0"/>
        <w:textAlignment w:val="auto"/>
      </w:pPr>
      <w:r>
        <w:fldChar w:fldCharType="begin"/>
      </w:r>
      <w:r>
        <w:instrText xml:space="preserve"> HYPERLINK \l "_Toc19115" </w:instrText>
      </w:r>
      <w:r>
        <w:fldChar w:fldCharType="separate"/>
      </w:r>
      <w:r>
        <w:rPr>
          <w:rFonts w:hint="eastAsia"/>
          <w:szCs w:val="32"/>
        </w:rPr>
        <w:t>七</w:t>
      </w:r>
      <w:r>
        <w:rPr>
          <w:szCs w:val="32"/>
        </w:rPr>
        <w:t>、监测结果分析与评价</w:t>
      </w:r>
      <w:r>
        <w:tab/>
      </w:r>
      <w:r>
        <w:fldChar w:fldCharType="begin"/>
      </w:r>
      <w:r>
        <w:instrText xml:space="preserve"> PAGEREF _Toc19115 </w:instrText>
      </w:r>
      <w:r>
        <w:fldChar w:fldCharType="separate"/>
      </w:r>
      <w:r>
        <w:t>23</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"_Toc9306" </w:instrText>
      </w:r>
      <w:r>
        <w:fldChar w:fldCharType="separate"/>
      </w:r>
      <w:r>
        <w:rPr>
          <w:rFonts w:hint="eastAsia"/>
          <w:bCs/>
          <w:szCs w:val="28"/>
        </w:rPr>
        <w:t>7</w:t>
      </w:r>
      <w:r>
        <w:rPr>
          <w:bCs/>
          <w:szCs w:val="28"/>
        </w:rPr>
        <w:t xml:space="preserve">.1 </w:t>
      </w:r>
      <w:r>
        <w:rPr>
          <w:rFonts w:hint="eastAsia"/>
          <w:bCs/>
          <w:szCs w:val="28"/>
        </w:rPr>
        <w:t>监测期间工况</w:t>
      </w:r>
      <w:r>
        <w:tab/>
      </w:r>
      <w:r>
        <w:fldChar w:fldCharType="begin"/>
      </w:r>
      <w:r>
        <w:instrText xml:space="preserve"> PAGEREF _Toc9306 </w:instrText>
      </w:r>
      <w:r>
        <w:fldChar w:fldCharType="separate"/>
      </w:r>
      <w:r>
        <w:t>23</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"_Toc22104" </w:instrText>
      </w:r>
      <w:r>
        <w:fldChar w:fldCharType="separate"/>
      </w:r>
      <w:r>
        <w:rPr>
          <w:rFonts w:hint="eastAsia"/>
          <w:szCs w:val="28"/>
        </w:rPr>
        <w:t>7</w:t>
      </w:r>
      <w:r>
        <w:rPr>
          <w:szCs w:val="28"/>
        </w:rPr>
        <w:t>.</w:t>
      </w:r>
      <w:r>
        <w:rPr>
          <w:rFonts w:hint="eastAsia"/>
          <w:szCs w:val="28"/>
          <w:lang w:val="en-US" w:eastAsia="zh-CN"/>
        </w:rPr>
        <w:t>2</w:t>
      </w:r>
      <w:r>
        <w:rPr>
          <w:rFonts w:hint="eastAsia"/>
          <w:szCs w:val="28"/>
        </w:rPr>
        <w:t>噪声监测</w:t>
      </w:r>
      <w:r>
        <w:tab/>
      </w:r>
      <w:r>
        <w:fldChar w:fldCharType="begin"/>
      </w:r>
      <w:r>
        <w:instrText xml:space="preserve"> PAGEREF _Toc22104 </w:instrText>
      </w:r>
      <w:r>
        <w:fldChar w:fldCharType="separate"/>
      </w:r>
      <w:r>
        <w:t>23</w:t>
      </w:r>
      <w:r>
        <w:fldChar w:fldCharType="end"/>
      </w:r>
      <w:r>
        <w:fldChar w:fldCharType="end"/>
      </w:r>
    </w:p>
    <w:p>
      <w:pPr>
        <w:pStyle w:val="29"/>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right="0" w:rightChars="0"/>
        <w:textAlignment w:val="auto"/>
      </w:pPr>
      <w:r>
        <w:fldChar w:fldCharType="begin"/>
      </w:r>
      <w:r>
        <w:instrText xml:space="preserve"> HYPERLINK \l "_Toc771" </w:instrText>
      </w:r>
      <w:r>
        <w:fldChar w:fldCharType="separate"/>
      </w:r>
      <w:r>
        <w:rPr>
          <w:rFonts w:hint="eastAsia"/>
          <w:bCs/>
          <w:lang w:val="en-US" w:eastAsia="zh-CN"/>
        </w:rPr>
        <w:t>八</w:t>
      </w:r>
      <w:r>
        <w:rPr>
          <w:rFonts w:hint="eastAsia"/>
          <w:bCs/>
        </w:rPr>
        <w:t>、环境管理检查</w:t>
      </w:r>
      <w:r>
        <w:tab/>
      </w:r>
      <w:r>
        <w:fldChar w:fldCharType="begin"/>
      </w:r>
      <w:r>
        <w:instrText xml:space="preserve"> PAGEREF _Toc771 </w:instrText>
      </w:r>
      <w:r>
        <w:fldChar w:fldCharType="separate"/>
      </w:r>
      <w:r>
        <w:t>25</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"_Toc17553" </w:instrText>
      </w:r>
      <w:r>
        <w:fldChar w:fldCharType="separate"/>
      </w:r>
      <w:r>
        <w:rPr>
          <w:rFonts w:hint="eastAsia"/>
          <w:szCs w:val="28"/>
          <w:lang w:val="en-US" w:eastAsia="zh-CN"/>
        </w:rPr>
        <w:t>8</w:t>
      </w:r>
      <w:r>
        <w:rPr>
          <w:rFonts w:hint="eastAsia"/>
          <w:szCs w:val="28"/>
        </w:rPr>
        <w:t>.</w:t>
      </w:r>
      <w:r>
        <w:rPr>
          <w:szCs w:val="28"/>
        </w:rPr>
        <w:t>1 项目“三同时”执行情况</w:t>
      </w:r>
      <w:r>
        <w:tab/>
      </w:r>
      <w:r>
        <w:fldChar w:fldCharType="begin"/>
      </w:r>
      <w:r>
        <w:instrText xml:space="preserve"> PAGEREF _Toc17553 </w:instrText>
      </w:r>
      <w:r>
        <w:fldChar w:fldCharType="separate"/>
      </w:r>
      <w:r>
        <w:t>25</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"_Toc17174" </w:instrText>
      </w:r>
      <w:r>
        <w:fldChar w:fldCharType="separate"/>
      </w:r>
      <w:r>
        <w:rPr>
          <w:rFonts w:hint="eastAsia"/>
          <w:szCs w:val="28"/>
          <w:lang w:val="en-US" w:eastAsia="zh-CN"/>
        </w:rPr>
        <w:t>8</w:t>
      </w:r>
      <w:r>
        <w:rPr>
          <w:rFonts w:hint="eastAsia"/>
          <w:szCs w:val="28"/>
        </w:rPr>
        <w:t>.</w:t>
      </w:r>
      <w:r>
        <w:rPr>
          <w:szCs w:val="28"/>
        </w:rPr>
        <w:t>2环境管理规章制度及环境管理机构设置情况</w:t>
      </w:r>
      <w:r>
        <w:tab/>
      </w:r>
      <w:r>
        <w:fldChar w:fldCharType="begin"/>
      </w:r>
      <w:r>
        <w:instrText xml:space="preserve"> PAGEREF _Toc17174 </w:instrText>
      </w:r>
      <w:r>
        <w:fldChar w:fldCharType="separate"/>
      </w:r>
      <w:r>
        <w:t>25</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"_Toc19749" </w:instrText>
      </w:r>
      <w:r>
        <w:fldChar w:fldCharType="separate"/>
      </w:r>
      <w:r>
        <w:rPr>
          <w:rFonts w:hint="eastAsia"/>
          <w:szCs w:val="28"/>
          <w:lang w:val="en-US" w:eastAsia="zh-CN"/>
        </w:rPr>
        <w:t>8</w:t>
      </w:r>
      <w:r>
        <w:rPr>
          <w:rFonts w:hint="eastAsia"/>
          <w:szCs w:val="28"/>
        </w:rPr>
        <w:t>.3 排污口规范化检查</w:t>
      </w:r>
      <w:r>
        <w:tab/>
      </w:r>
      <w:r>
        <w:fldChar w:fldCharType="begin"/>
      </w:r>
      <w:r>
        <w:instrText xml:space="preserve"> PAGEREF _Toc19749 </w:instrText>
      </w:r>
      <w:r>
        <w:fldChar w:fldCharType="separate"/>
      </w:r>
      <w:r>
        <w:t>26</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"_Toc28108" </w:instrText>
      </w:r>
      <w:r>
        <w:fldChar w:fldCharType="separate"/>
      </w:r>
      <w:r>
        <w:rPr>
          <w:rFonts w:hint="eastAsia"/>
          <w:szCs w:val="28"/>
          <w:lang w:val="en-US" w:eastAsia="zh-CN"/>
        </w:rPr>
        <w:t>8</w:t>
      </w:r>
      <w:r>
        <w:rPr>
          <w:rFonts w:hint="eastAsia"/>
          <w:szCs w:val="28"/>
        </w:rPr>
        <w:t>.4事故风险调查</w:t>
      </w:r>
      <w:r>
        <w:tab/>
      </w:r>
      <w:r>
        <w:fldChar w:fldCharType="begin"/>
      </w:r>
      <w:r>
        <w:instrText xml:space="preserve"> PAGEREF _Toc28108 </w:instrText>
      </w:r>
      <w:r>
        <w:fldChar w:fldCharType="separate"/>
      </w:r>
      <w:r>
        <w:t>27</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"_Toc23719" </w:instrText>
      </w:r>
      <w:r>
        <w:fldChar w:fldCharType="separate"/>
      </w:r>
      <w:r>
        <w:rPr>
          <w:rFonts w:hint="eastAsia"/>
          <w:szCs w:val="28"/>
          <w:lang w:val="en-US" w:eastAsia="zh-CN"/>
        </w:rPr>
        <w:t>8</w:t>
      </w:r>
      <w:r>
        <w:rPr>
          <w:szCs w:val="28"/>
        </w:rPr>
        <w:t>.</w:t>
      </w:r>
      <w:r>
        <w:rPr>
          <w:rFonts w:hint="eastAsia"/>
          <w:szCs w:val="28"/>
          <w:lang w:val="en-US" w:eastAsia="zh-CN"/>
        </w:rPr>
        <w:t>5</w:t>
      </w:r>
      <w:r>
        <w:rPr>
          <w:szCs w:val="28"/>
        </w:rPr>
        <w:t>环评建议及批复意见落实情况</w:t>
      </w:r>
      <w:r>
        <w:tab/>
      </w:r>
      <w:r>
        <w:fldChar w:fldCharType="begin"/>
      </w:r>
      <w:r>
        <w:instrText xml:space="preserve"> PAGEREF _Toc23719 </w:instrText>
      </w:r>
      <w:r>
        <w:fldChar w:fldCharType="separate"/>
      </w:r>
      <w:r>
        <w:t>27</w:t>
      </w:r>
      <w:r>
        <w:fldChar w:fldCharType="end"/>
      </w:r>
      <w:r>
        <w:fldChar w:fldCharType="end"/>
      </w:r>
    </w:p>
    <w:p>
      <w:pPr>
        <w:pStyle w:val="29"/>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right="0" w:rightChars="0"/>
        <w:textAlignment w:val="auto"/>
      </w:pPr>
      <w:r>
        <w:fldChar w:fldCharType="begin"/>
      </w:r>
      <w:r>
        <w:instrText xml:space="preserve"> HYPERLINK \l "_Toc22861" </w:instrText>
      </w:r>
      <w:r>
        <w:fldChar w:fldCharType="separate"/>
      </w:r>
      <w:r>
        <w:rPr>
          <w:rFonts w:hint="eastAsia"/>
          <w:bCs/>
          <w:lang w:val="en-US" w:eastAsia="zh-CN"/>
        </w:rPr>
        <w:t>九</w:t>
      </w:r>
      <w:r>
        <w:rPr>
          <w:rFonts w:hint="eastAsia"/>
          <w:bCs/>
          <w:lang w:eastAsia="zh-CN"/>
        </w:rPr>
        <w:t>、</w:t>
      </w:r>
      <w:r>
        <w:rPr>
          <w:bCs/>
        </w:rPr>
        <w:t>验收监测结论与建议</w:t>
      </w:r>
      <w:r>
        <w:tab/>
      </w:r>
      <w:r>
        <w:fldChar w:fldCharType="begin"/>
      </w:r>
      <w:r>
        <w:instrText xml:space="preserve"> PAGEREF _Toc22861 </w:instrText>
      </w:r>
      <w:r>
        <w:fldChar w:fldCharType="separate"/>
      </w:r>
      <w:r>
        <w:t>30</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"_Toc1644" </w:instrText>
      </w:r>
      <w:r>
        <w:fldChar w:fldCharType="separate"/>
      </w:r>
      <w:r>
        <w:rPr>
          <w:rFonts w:hint="eastAsia"/>
          <w:szCs w:val="28"/>
          <w:lang w:val="en-US" w:eastAsia="zh-CN"/>
        </w:rPr>
        <w:t>9</w:t>
      </w:r>
      <w:r>
        <w:rPr>
          <w:rFonts w:hint="eastAsia"/>
          <w:szCs w:val="28"/>
        </w:rPr>
        <w:t>.1验收监测主要结论</w:t>
      </w:r>
      <w:r>
        <w:tab/>
      </w:r>
      <w:r>
        <w:fldChar w:fldCharType="begin"/>
      </w:r>
      <w:r>
        <w:instrText xml:space="preserve"> PAGEREF _Toc1644 </w:instrText>
      </w:r>
      <w:r>
        <w:fldChar w:fldCharType="separate"/>
      </w:r>
      <w:r>
        <w:t>30</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"_Toc24503" </w:instrText>
      </w:r>
      <w:r>
        <w:fldChar w:fldCharType="separate"/>
      </w:r>
      <w:r>
        <w:rPr>
          <w:rFonts w:hint="eastAsia"/>
          <w:bCs/>
          <w:szCs w:val="28"/>
          <w:lang w:val="en-US" w:eastAsia="zh-CN"/>
        </w:rPr>
        <w:t>9</w:t>
      </w:r>
      <w:r>
        <w:rPr>
          <w:rFonts w:hint="eastAsia"/>
          <w:bCs/>
          <w:szCs w:val="28"/>
        </w:rPr>
        <w:t>.2 环境管理检查</w:t>
      </w:r>
      <w:r>
        <w:tab/>
      </w:r>
      <w:r>
        <w:fldChar w:fldCharType="begin"/>
      </w:r>
      <w:r>
        <w:instrText xml:space="preserve"> PAGEREF _Toc24503 </w:instrText>
      </w:r>
      <w:r>
        <w:fldChar w:fldCharType="separate"/>
      </w:r>
      <w:r>
        <w:t>30</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"_Toc8609" </w:instrText>
      </w:r>
      <w:r>
        <w:fldChar w:fldCharType="separate"/>
      </w:r>
      <w:r>
        <w:rPr>
          <w:rFonts w:hint="eastAsia"/>
          <w:bCs/>
          <w:szCs w:val="28"/>
          <w:lang w:val="en-US" w:eastAsia="zh-CN"/>
        </w:rPr>
        <w:t>9</w:t>
      </w:r>
      <w:r>
        <w:rPr>
          <w:rFonts w:hint="eastAsia"/>
          <w:bCs/>
          <w:szCs w:val="28"/>
        </w:rPr>
        <w:t>.3 环境风险检查</w:t>
      </w:r>
      <w:r>
        <w:tab/>
      </w:r>
      <w:r>
        <w:fldChar w:fldCharType="begin"/>
      </w:r>
      <w:r>
        <w:instrText xml:space="preserve"> PAGEREF _Toc8609 </w:instrText>
      </w:r>
      <w:r>
        <w:fldChar w:fldCharType="separate"/>
      </w:r>
      <w:r>
        <w:t>31</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"_Toc25436" </w:instrText>
      </w:r>
      <w:r>
        <w:fldChar w:fldCharType="separate"/>
      </w:r>
      <w:r>
        <w:rPr>
          <w:rFonts w:hint="eastAsia"/>
          <w:bCs/>
          <w:lang w:val="en-US" w:eastAsia="zh-CN"/>
        </w:rPr>
        <w:t>9</w:t>
      </w:r>
      <w:r>
        <w:rPr>
          <w:rFonts w:hint="eastAsia"/>
          <w:bCs/>
        </w:rPr>
        <w:t>.4 公众意见调查</w:t>
      </w:r>
      <w:r>
        <w:tab/>
      </w:r>
      <w:r>
        <w:fldChar w:fldCharType="begin"/>
      </w:r>
      <w:r>
        <w:instrText xml:space="preserve"> PAGEREF _Toc25436 </w:instrText>
      </w:r>
      <w:r>
        <w:fldChar w:fldCharType="separate"/>
      </w:r>
      <w:r>
        <w:t>31</w:t>
      </w:r>
      <w:r>
        <w:fldChar w:fldCharType="end"/>
      </w:r>
      <w:r>
        <w:fldChar w:fldCharType="end"/>
      </w:r>
    </w:p>
    <w:p>
      <w:pPr>
        <w:pStyle w:val="34"/>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left="560" w:right="0" w:rightChars="0"/>
        <w:textAlignment w:val="auto"/>
      </w:pPr>
      <w:r>
        <w:fldChar w:fldCharType="begin"/>
      </w:r>
      <w:r>
        <w:instrText xml:space="preserve"> HYPERLINK \l "_Toc7283" </w:instrText>
      </w:r>
      <w:r>
        <w:fldChar w:fldCharType="separate"/>
      </w:r>
      <w:r>
        <w:rPr>
          <w:rFonts w:hint="eastAsia"/>
          <w:szCs w:val="28"/>
          <w:lang w:val="en-US" w:eastAsia="zh-CN"/>
        </w:rPr>
        <w:t>9</w:t>
      </w:r>
      <w:r>
        <w:rPr>
          <w:rFonts w:hint="eastAsia"/>
          <w:szCs w:val="28"/>
        </w:rPr>
        <w:t>.5 建议</w:t>
      </w:r>
      <w:r>
        <w:tab/>
      </w:r>
      <w:r>
        <w:fldChar w:fldCharType="begin"/>
      </w:r>
      <w:r>
        <w:instrText xml:space="preserve"> PAGEREF _Toc7283 </w:instrText>
      </w:r>
      <w:r>
        <w:fldChar w:fldCharType="separate"/>
      </w:r>
      <w:r>
        <w:t>31</w:t>
      </w:r>
      <w:r>
        <w:fldChar w:fldCharType="end"/>
      </w:r>
      <w:r>
        <w:fldChar w:fldCharType="end"/>
      </w:r>
    </w:p>
    <w:p>
      <w:pPr>
        <w:pStyle w:val="29"/>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right="0" w:rightChars="0"/>
        <w:textAlignment w:val="auto"/>
      </w:pPr>
      <w:r>
        <w:fldChar w:fldCharType="begin"/>
      </w:r>
      <w:r>
        <w:instrText xml:space="preserve"> HYPERLINK \l "_Toc27622" </w:instrText>
      </w:r>
      <w:r>
        <w:fldChar w:fldCharType="separate"/>
      </w:r>
      <w:r>
        <w:t>十、附件</w:t>
      </w:r>
      <w:r>
        <w:tab/>
      </w:r>
      <w:r>
        <w:fldChar w:fldCharType="begin"/>
      </w:r>
      <w:r>
        <w:instrText xml:space="preserve"> PAGEREF _Toc27622 </w:instrText>
      </w:r>
      <w:r>
        <w:fldChar w:fldCharType="separate"/>
      </w:r>
      <w:r>
        <w:t>32</w:t>
      </w:r>
      <w:r>
        <w:fldChar w:fldCharType="end"/>
      </w:r>
      <w:r>
        <w:fldChar w:fldCharType="end"/>
      </w:r>
    </w:p>
    <w:p>
      <w:pPr>
        <w:keepNext w:val="0"/>
        <w:keepLines w:val="0"/>
        <w:pageBreakBefore w:val="0"/>
        <w:widowControl w:val="0"/>
        <w:tabs>
          <w:tab w:val="right" w:leader="dot" w:pos="8307"/>
        </w:tabs>
        <w:kinsoku/>
        <w:wordWrap/>
        <w:overflowPunct/>
        <w:topLinePunct w:val="0"/>
        <w:autoSpaceDE/>
        <w:autoSpaceDN/>
        <w:bidi w:val="0"/>
        <w:adjustRightInd/>
        <w:snapToGrid/>
        <w:spacing w:line="520" w:lineRule="exact"/>
        <w:ind w:right="0" w:rightChars="0"/>
        <w:jc w:val="center"/>
        <w:textAlignment w:val="auto"/>
        <w:outlineLvl w:val="3"/>
        <w:rPr>
          <w:szCs w:val="28"/>
        </w:rPr>
        <w:sectPr>
          <w:headerReference r:id="rId7" w:type="first"/>
          <w:headerReference r:id="rId5" w:type="default"/>
          <w:footerReference r:id="rId8" w:type="default"/>
          <w:headerReference r:id="rId6" w:type="even"/>
          <w:footerReference r:id="rId9" w:type="even"/>
          <w:pgSz w:w="11907" w:h="16840"/>
          <w:pgMar w:top="1440" w:right="1800" w:bottom="1440" w:left="1800" w:header="851" w:footer="992" w:gutter="0"/>
          <w:pgNumType w:start="1"/>
          <w:cols w:space="720" w:num="1"/>
          <w:titlePg/>
          <w:docGrid w:linePitch="387" w:charSpace="-4148"/>
        </w:sectPr>
      </w:pPr>
      <w:r>
        <w:rPr>
          <w:rFonts w:eastAsia="新宋体"/>
          <w:color w:val="0000FF"/>
          <w:szCs w:val="28"/>
          <w:shd w:val="clear" w:color="FFFFFF" w:fill="D9D9D9"/>
        </w:rPr>
        <w:fldChar w:fldCharType="end"/>
      </w:r>
      <w:bookmarkStart w:id="25" w:name="_Toc5310"/>
      <w:bookmarkStart w:id="26" w:name="_Toc17994"/>
      <w:bookmarkStart w:id="27" w:name="_Toc19648"/>
    </w:p>
    <w:p>
      <w:pPr>
        <w:pStyle w:val="2"/>
        <w:jc w:val="left"/>
        <w:rPr>
          <w:szCs w:val="32"/>
        </w:rPr>
      </w:pPr>
      <w:bookmarkStart w:id="28" w:name="_Toc19216"/>
      <w:r>
        <w:rPr>
          <w:rFonts w:hint="eastAsia"/>
          <w:szCs w:val="32"/>
        </w:rPr>
        <w:t>一、</w:t>
      </w:r>
      <w:r>
        <w:rPr>
          <w:szCs w:val="32"/>
        </w:rPr>
        <w:t>前言</w:t>
      </w:r>
      <w:bookmarkEnd w:id="25"/>
      <w:bookmarkEnd w:id="26"/>
      <w:bookmarkEnd w:id="27"/>
      <w:bookmarkEnd w:id="28"/>
    </w:p>
    <w:p>
      <w:pPr>
        <w:ind w:firstLine="576" w:firstLineChars="200"/>
        <w:rPr>
          <w:color w:val="auto"/>
        </w:rPr>
      </w:pPr>
      <w:r>
        <w:rPr>
          <w:rFonts w:hint="eastAsia"/>
          <w:spacing w:val="4"/>
          <w:szCs w:val="28"/>
        </w:rPr>
        <w:t>中国石油吐哈油田神泉污水处理系统扩建项目是在原吐哈油田吐鲁番采油厂神泉污水处理站（简称“神泉污水处理站”）基础上，</w:t>
      </w:r>
      <w:r>
        <w:rPr>
          <w:rFonts w:hint="eastAsia"/>
          <w:szCs w:val="28"/>
        </w:rPr>
        <w:t>采用“微生物除油+过滤主体处理工艺”对污水站进行改扩建</w:t>
      </w:r>
      <w:r>
        <w:rPr>
          <w:rFonts w:hint="eastAsia"/>
          <w:spacing w:val="4"/>
          <w:szCs w:val="28"/>
        </w:rPr>
        <w:t>。</w:t>
      </w:r>
      <w:r>
        <w:rPr>
          <w:rFonts w:hint="eastAsia"/>
        </w:rPr>
        <w:t>改扩建后的</w:t>
      </w:r>
      <w:r>
        <w:rPr>
          <w:rFonts w:hint="eastAsia"/>
          <w:lang w:val="en-US" w:eastAsia="zh-CN"/>
        </w:rPr>
        <w:t>污水处理站废水</w:t>
      </w:r>
      <w:r>
        <w:rPr>
          <w:rFonts w:hint="eastAsia"/>
        </w:rPr>
        <w:t>处理规模为3000m</w:t>
      </w:r>
      <w:r>
        <w:rPr>
          <w:rFonts w:hint="eastAsia"/>
          <w:vertAlign w:val="superscript"/>
        </w:rPr>
        <w:t>3</w:t>
      </w:r>
      <w:r>
        <w:rPr>
          <w:rFonts w:hint="eastAsia"/>
        </w:rPr>
        <w:t>/d，主要对</w:t>
      </w:r>
      <w:r>
        <w:rPr>
          <w:rFonts w:hint="eastAsia"/>
          <w:lang w:val="en-US" w:eastAsia="zh-CN"/>
        </w:rPr>
        <w:t>神</w:t>
      </w:r>
      <w:r>
        <w:rPr>
          <w:rFonts w:hint="eastAsia"/>
          <w:color w:val="auto"/>
          <w:lang w:val="en-US" w:eastAsia="zh-CN"/>
        </w:rPr>
        <w:t>泉采油区</w:t>
      </w:r>
      <w:r>
        <w:rPr>
          <w:rFonts w:hint="eastAsia"/>
          <w:color w:val="auto"/>
        </w:rPr>
        <w:t>三相分离器产生的废水进行处理。</w:t>
      </w:r>
    </w:p>
    <w:p>
      <w:pPr>
        <w:ind w:firstLine="576" w:firstLineChars="200"/>
        <w:rPr>
          <w:rFonts w:hint="default" w:eastAsia="宋体"/>
          <w:spacing w:val="4"/>
          <w:szCs w:val="28"/>
          <w:lang w:val="en-US" w:eastAsia="zh-CN"/>
        </w:rPr>
      </w:pPr>
      <w:r>
        <w:rPr>
          <w:rFonts w:hint="eastAsia"/>
          <w:color w:val="auto"/>
          <w:spacing w:val="4"/>
        </w:rPr>
        <w:t>原项目2007年12月20日已通过验收审批，</w:t>
      </w:r>
      <w:r>
        <w:rPr>
          <w:color w:val="auto"/>
          <w:spacing w:val="4"/>
        </w:rPr>
        <w:t>201</w:t>
      </w:r>
      <w:r>
        <w:rPr>
          <w:rFonts w:hint="eastAsia"/>
          <w:color w:val="auto"/>
          <w:spacing w:val="4"/>
        </w:rPr>
        <w:t>6</w:t>
      </w:r>
      <w:r>
        <w:rPr>
          <w:color w:val="auto"/>
          <w:spacing w:val="4"/>
        </w:rPr>
        <w:t>年</w:t>
      </w:r>
      <w:r>
        <w:rPr>
          <w:rFonts w:hint="eastAsia"/>
          <w:color w:val="auto"/>
          <w:spacing w:val="4"/>
        </w:rPr>
        <w:t>7</w:t>
      </w:r>
      <w:r>
        <w:rPr>
          <w:color w:val="auto"/>
          <w:spacing w:val="4"/>
        </w:rPr>
        <w:t>月</w:t>
      </w:r>
      <w:r>
        <w:rPr>
          <w:rFonts w:hint="eastAsia"/>
          <w:color w:val="auto"/>
          <w:spacing w:val="4"/>
          <w:lang w:val="zh-CN"/>
        </w:rPr>
        <w:t>新疆天地源环保科技发展有限公司</w:t>
      </w:r>
      <w:r>
        <w:rPr>
          <w:rFonts w:hint="eastAsia"/>
          <w:color w:val="auto"/>
          <w:spacing w:val="4"/>
          <w:lang w:val="en-US" w:eastAsia="zh-CN"/>
        </w:rPr>
        <w:t>编制了</w:t>
      </w:r>
      <w:r>
        <w:rPr>
          <w:rFonts w:hint="eastAsia"/>
          <w:color w:val="auto"/>
          <w:spacing w:val="4"/>
          <w:lang w:eastAsia="zh-CN"/>
        </w:rPr>
        <w:t>《</w:t>
      </w:r>
      <w:r>
        <w:rPr>
          <w:rFonts w:hint="eastAsia"/>
          <w:color w:val="auto"/>
          <w:spacing w:val="4"/>
        </w:rPr>
        <w:t>中国石油吐哈油田神泉污水处理系统扩建项目</w:t>
      </w:r>
      <w:r>
        <w:rPr>
          <w:rFonts w:hint="eastAsia"/>
          <w:color w:val="auto"/>
          <w:spacing w:val="4"/>
          <w:lang w:val="en-US" w:eastAsia="zh-CN"/>
        </w:rPr>
        <w:t>环境影响报告书</w:t>
      </w:r>
      <w:r>
        <w:rPr>
          <w:rFonts w:hint="eastAsia"/>
          <w:color w:val="auto"/>
          <w:spacing w:val="4"/>
          <w:lang w:eastAsia="zh-CN"/>
        </w:rPr>
        <w:t>》</w:t>
      </w:r>
      <w:r>
        <w:rPr>
          <w:color w:val="auto"/>
          <w:spacing w:val="4"/>
        </w:rPr>
        <w:t>。201</w:t>
      </w:r>
      <w:r>
        <w:rPr>
          <w:rFonts w:hint="eastAsia"/>
          <w:color w:val="auto"/>
          <w:spacing w:val="4"/>
        </w:rPr>
        <w:t>6</w:t>
      </w:r>
      <w:r>
        <w:rPr>
          <w:color w:val="auto"/>
          <w:spacing w:val="4"/>
        </w:rPr>
        <w:t>年</w:t>
      </w:r>
      <w:r>
        <w:rPr>
          <w:rFonts w:hint="eastAsia"/>
          <w:color w:val="auto"/>
          <w:spacing w:val="4"/>
        </w:rPr>
        <w:t>11</w:t>
      </w:r>
      <w:r>
        <w:rPr>
          <w:color w:val="auto"/>
          <w:spacing w:val="4"/>
        </w:rPr>
        <w:t>月</w:t>
      </w:r>
      <w:r>
        <w:rPr>
          <w:rFonts w:hint="eastAsia"/>
          <w:color w:val="auto"/>
          <w:spacing w:val="4"/>
        </w:rPr>
        <w:t>22</w:t>
      </w:r>
      <w:r>
        <w:rPr>
          <w:color w:val="auto"/>
          <w:spacing w:val="4"/>
        </w:rPr>
        <w:t>日由</w:t>
      </w:r>
      <w:r>
        <w:rPr>
          <w:rFonts w:hint="eastAsia"/>
          <w:color w:val="auto"/>
          <w:spacing w:val="4"/>
        </w:rPr>
        <w:t>新疆维吾尔自治区环境保护厅</w:t>
      </w:r>
      <w:r>
        <w:rPr>
          <w:color w:val="auto"/>
          <w:spacing w:val="4"/>
        </w:rPr>
        <w:t>以</w:t>
      </w:r>
      <w:r>
        <w:rPr>
          <w:rFonts w:hint="eastAsia"/>
          <w:color w:val="auto"/>
          <w:spacing w:val="4"/>
          <w:lang w:eastAsia="zh-CN"/>
        </w:rPr>
        <w:t>“</w:t>
      </w:r>
      <w:r>
        <w:rPr>
          <w:rFonts w:hint="eastAsia"/>
          <w:color w:val="auto"/>
          <w:spacing w:val="4"/>
        </w:rPr>
        <w:t>新环函</w:t>
      </w:r>
      <w:r>
        <w:rPr>
          <w:color w:val="auto"/>
          <w:spacing w:val="4"/>
        </w:rPr>
        <w:t>[201</w:t>
      </w:r>
      <w:r>
        <w:rPr>
          <w:rFonts w:hint="eastAsia"/>
          <w:color w:val="auto"/>
          <w:spacing w:val="4"/>
        </w:rPr>
        <w:t>6</w:t>
      </w:r>
      <w:r>
        <w:rPr>
          <w:color w:val="auto"/>
          <w:spacing w:val="4"/>
        </w:rPr>
        <w:t>]</w:t>
      </w:r>
      <w:r>
        <w:rPr>
          <w:rFonts w:hint="eastAsia"/>
          <w:color w:val="auto"/>
          <w:spacing w:val="4"/>
        </w:rPr>
        <w:t>1720</w:t>
      </w:r>
      <w:r>
        <w:rPr>
          <w:color w:val="auto"/>
          <w:spacing w:val="4"/>
        </w:rPr>
        <w:t>号</w:t>
      </w:r>
      <w:r>
        <w:rPr>
          <w:rFonts w:hint="eastAsia"/>
          <w:color w:val="auto"/>
          <w:spacing w:val="4"/>
          <w:lang w:eastAsia="zh-CN"/>
        </w:rPr>
        <w:t>”</w:t>
      </w:r>
      <w:r>
        <w:rPr>
          <w:color w:val="auto"/>
          <w:spacing w:val="4"/>
        </w:rPr>
        <w:t>批</w:t>
      </w:r>
      <w:r>
        <w:rPr>
          <w:spacing w:val="4"/>
        </w:rPr>
        <w:t>复通过。</w:t>
      </w:r>
      <w:r>
        <w:rPr>
          <w:rFonts w:hint="eastAsia"/>
          <w:szCs w:val="28"/>
        </w:rPr>
        <w:t>该项目</w:t>
      </w:r>
      <w:r>
        <w:rPr>
          <w:szCs w:val="28"/>
        </w:rPr>
        <w:t>于</w:t>
      </w:r>
      <w:r>
        <w:rPr>
          <w:rFonts w:hint="eastAsia"/>
          <w:szCs w:val="28"/>
        </w:rPr>
        <w:t>2016</w:t>
      </w:r>
      <w:r>
        <w:rPr>
          <w:szCs w:val="28"/>
        </w:rPr>
        <w:t>年</w:t>
      </w:r>
      <w:r>
        <w:rPr>
          <w:rFonts w:hint="eastAsia"/>
          <w:szCs w:val="28"/>
        </w:rPr>
        <w:t>5</w:t>
      </w:r>
      <w:r>
        <w:rPr>
          <w:szCs w:val="28"/>
        </w:rPr>
        <w:t>月开工建设，201</w:t>
      </w:r>
      <w:r>
        <w:rPr>
          <w:rFonts w:hint="eastAsia"/>
          <w:szCs w:val="28"/>
        </w:rPr>
        <w:t>7</w:t>
      </w:r>
      <w:r>
        <w:rPr>
          <w:szCs w:val="28"/>
        </w:rPr>
        <w:t>年</w:t>
      </w:r>
      <w:r>
        <w:rPr>
          <w:rFonts w:hint="eastAsia"/>
          <w:szCs w:val="28"/>
        </w:rPr>
        <w:t>9</w:t>
      </w:r>
      <w:r>
        <w:rPr>
          <w:szCs w:val="28"/>
        </w:rPr>
        <w:t>月建成</w:t>
      </w:r>
      <w:r>
        <w:rPr>
          <w:rFonts w:hint="eastAsia"/>
          <w:szCs w:val="28"/>
        </w:rPr>
        <w:t>，</w:t>
      </w:r>
      <w:r>
        <w:rPr>
          <w:rFonts w:hint="eastAsia"/>
          <w:color w:val="000000"/>
          <w:szCs w:val="28"/>
        </w:rPr>
        <w:t>并</w:t>
      </w:r>
      <w:r>
        <w:rPr>
          <w:color w:val="000000"/>
          <w:szCs w:val="28"/>
        </w:rPr>
        <w:t>投入试生产。</w:t>
      </w:r>
      <w:r>
        <w:rPr>
          <w:rFonts w:hint="eastAsia"/>
          <w:color w:val="000000"/>
          <w:szCs w:val="28"/>
          <w:lang w:val="en-US" w:eastAsia="zh-CN"/>
        </w:rPr>
        <w:t>2017年11月17日，中国石油吐哈油田神泉污水处理系统扩建项目废气、废水已通过自主验收；2022年企业进行环保自查，发现固废、噪声未进行验收。</w:t>
      </w:r>
    </w:p>
    <w:p>
      <w:pPr>
        <w:ind w:firstLine="560"/>
        <w:rPr>
          <w:szCs w:val="32"/>
        </w:rPr>
      </w:pPr>
      <w:bookmarkStart w:id="29" w:name="_Toc346635697"/>
      <w:bookmarkStart w:id="30" w:name="_Toc28287"/>
      <w:bookmarkStart w:id="31" w:name="_Toc153216314"/>
      <w:bookmarkStart w:id="32" w:name="_Toc10919"/>
      <w:bookmarkStart w:id="33" w:name="_Toc212303504"/>
      <w:bookmarkStart w:id="34" w:name="_Toc277666203"/>
      <w:bookmarkStart w:id="35" w:name="_Toc3926"/>
      <w:bookmarkStart w:id="36" w:name="_Toc212304311"/>
      <w:bookmarkStart w:id="37" w:name="_Toc153338175"/>
      <w:r>
        <w:rPr>
          <w:color w:val="000000"/>
          <w:spacing w:val="4"/>
        </w:rPr>
        <w:t>根据</w:t>
      </w:r>
      <w:r>
        <w:rPr>
          <w:spacing w:val="4"/>
        </w:rPr>
        <w:t>《中华人民共和国环境保护法》、</w:t>
      </w:r>
      <w:r>
        <w:rPr>
          <w:color w:val="000000"/>
          <w:spacing w:val="4"/>
        </w:rPr>
        <w:t>《</w:t>
      </w:r>
      <w:r>
        <w:rPr>
          <w:rFonts w:hint="eastAsia"/>
          <w:color w:val="000000"/>
          <w:spacing w:val="4"/>
        </w:rPr>
        <w:t>国务院关于修改&lt;</w:t>
      </w:r>
      <w:r>
        <w:rPr>
          <w:color w:val="000000"/>
          <w:spacing w:val="4"/>
        </w:rPr>
        <w:t>建设项目环境保护管理条例</w:t>
      </w:r>
      <w:r>
        <w:rPr>
          <w:rFonts w:hint="eastAsia"/>
          <w:color w:val="000000"/>
          <w:spacing w:val="4"/>
        </w:rPr>
        <w:t>&gt;的决定</w:t>
      </w:r>
      <w:r>
        <w:rPr>
          <w:color w:val="000000"/>
          <w:spacing w:val="4"/>
        </w:rPr>
        <w:t>》（国务院令</w:t>
      </w:r>
      <w:r>
        <w:rPr>
          <w:rFonts w:hint="eastAsia"/>
          <w:color w:val="000000"/>
          <w:spacing w:val="4"/>
        </w:rPr>
        <w:t>682</w:t>
      </w:r>
      <w:r>
        <w:rPr>
          <w:color w:val="000000"/>
          <w:spacing w:val="4"/>
        </w:rPr>
        <w:t>号</w:t>
      </w:r>
      <w:r>
        <w:rPr>
          <w:rFonts w:hint="eastAsia"/>
          <w:color w:val="000000"/>
          <w:spacing w:val="4"/>
          <w:lang w:eastAsia="zh-CN"/>
        </w:rPr>
        <w:t>）</w:t>
      </w:r>
      <w:r>
        <w:rPr>
          <w:spacing w:val="4"/>
        </w:rPr>
        <w:t>的有关规定和要求，</w:t>
      </w:r>
      <w:r>
        <w:rPr>
          <w:rFonts w:hint="eastAsia"/>
        </w:rPr>
        <w:t>中</w:t>
      </w:r>
      <w:r>
        <w:rPr>
          <w:rFonts w:hint="eastAsia"/>
          <w:color w:val="000000"/>
        </w:rPr>
        <w:t>国石油吐哈油田</w:t>
      </w:r>
      <w:r>
        <w:rPr>
          <w:rFonts w:hint="eastAsia"/>
          <w:color w:val="000000"/>
          <w:lang w:val="en-US" w:eastAsia="zh-CN"/>
        </w:rPr>
        <w:t>吐鲁番采油管理区</w:t>
      </w:r>
      <w:r>
        <w:rPr>
          <w:color w:val="000000"/>
          <w:spacing w:val="4"/>
        </w:rPr>
        <w:t>于</w:t>
      </w:r>
      <w:r>
        <w:rPr>
          <w:color w:val="000000"/>
          <w:szCs w:val="28"/>
        </w:rPr>
        <w:t>20</w:t>
      </w:r>
      <w:r>
        <w:rPr>
          <w:rFonts w:hint="eastAsia"/>
          <w:color w:val="000000"/>
          <w:szCs w:val="28"/>
          <w:lang w:val="en-US" w:eastAsia="zh-CN"/>
        </w:rPr>
        <w:t>22</w:t>
      </w:r>
      <w:r>
        <w:rPr>
          <w:color w:val="000000"/>
          <w:szCs w:val="28"/>
        </w:rPr>
        <w:t>年</w:t>
      </w:r>
      <w:r>
        <w:rPr>
          <w:rFonts w:hint="eastAsia"/>
          <w:color w:val="000000"/>
          <w:szCs w:val="28"/>
          <w:lang w:val="en-US" w:eastAsia="zh-CN"/>
        </w:rPr>
        <w:t>5</w:t>
      </w:r>
      <w:r>
        <w:rPr>
          <w:color w:val="000000"/>
          <w:szCs w:val="28"/>
        </w:rPr>
        <w:t>月</w:t>
      </w:r>
      <w:r>
        <w:rPr>
          <w:color w:val="000000"/>
          <w:spacing w:val="4"/>
        </w:rPr>
        <w:t>委托新疆水清清环境监测技术服务有限公司</w:t>
      </w:r>
      <w:r>
        <w:rPr>
          <w:rFonts w:hint="eastAsia"/>
          <w:color w:val="000000"/>
          <w:spacing w:val="4"/>
        </w:rPr>
        <w:t>承担该项目竣工环境保护</w:t>
      </w:r>
      <w:r>
        <w:rPr>
          <w:color w:val="000000"/>
          <w:spacing w:val="4"/>
        </w:rPr>
        <w:t>验收</w:t>
      </w:r>
      <w:r>
        <w:rPr>
          <w:rFonts w:hint="eastAsia"/>
          <w:color w:val="000000"/>
          <w:spacing w:val="4"/>
          <w:lang w:val="en-US" w:eastAsia="zh-CN"/>
        </w:rPr>
        <w:t>工作</w:t>
      </w:r>
      <w:r>
        <w:rPr>
          <w:color w:val="000000"/>
          <w:spacing w:val="4"/>
        </w:rPr>
        <w:t>，我公司</w:t>
      </w:r>
      <w:r>
        <w:rPr>
          <w:rFonts w:hint="eastAsia"/>
          <w:color w:val="000000"/>
          <w:spacing w:val="4"/>
        </w:rPr>
        <w:t>按照环评及</w:t>
      </w:r>
      <w:r>
        <w:rPr>
          <w:color w:val="000000"/>
          <w:spacing w:val="4"/>
        </w:rPr>
        <w:t>批复</w:t>
      </w:r>
      <w:r>
        <w:rPr>
          <w:rFonts w:hint="eastAsia"/>
          <w:color w:val="000000"/>
          <w:spacing w:val="4"/>
        </w:rPr>
        <w:t>内容，依据</w:t>
      </w:r>
      <w:r>
        <w:rPr>
          <w:color w:val="000000"/>
          <w:spacing w:val="4"/>
        </w:rPr>
        <w:t>相关标准、监测技术规范等要求，对该项目建设和</w:t>
      </w:r>
      <w:r>
        <w:rPr>
          <w:rFonts w:hint="eastAsia"/>
          <w:color w:val="000000"/>
          <w:spacing w:val="4"/>
        </w:rPr>
        <w:t>“三同时”执行</w:t>
      </w:r>
      <w:r>
        <w:rPr>
          <w:color w:val="000000"/>
          <w:spacing w:val="4"/>
        </w:rPr>
        <w:t>情况</w:t>
      </w:r>
      <w:r>
        <w:rPr>
          <w:rFonts w:hint="eastAsia"/>
          <w:color w:val="000000"/>
          <w:spacing w:val="4"/>
        </w:rPr>
        <w:t>等</w:t>
      </w:r>
      <w:r>
        <w:rPr>
          <w:color w:val="000000"/>
          <w:spacing w:val="4"/>
        </w:rPr>
        <w:t>进行了核查</w:t>
      </w:r>
      <w:r>
        <w:rPr>
          <w:rFonts w:hint="eastAsia"/>
          <w:color w:val="000000"/>
          <w:spacing w:val="4"/>
        </w:rPr>
        <w:t>和现场</w:t>
      </w:r>
      <w:r>
        <w:rPr>
          <w:color w:val="000000"/>
          <w:spacing w:val="4"/>
        </w:rPr>
        <w:t>踏勘</w:t>
      </w:r>
      <w:r>
        <w:rPr>
          <w:rFonts w:hint="eastAsia"/>
          <w:color w:val="000000"/>
          <w:spacing w:val="4"/>
        </w:rPr>
        <w:t>，</w:t>
      </w:r>
      <w:r>
        <w:rPr>
          <w:color w:val="000000"/>
          <w:spacing w:val="4"/>
        </w:rPr>
        <w:t>编制了</w:t>
      </w:r>
      <w:r>
        <w:rPr>
          <w:rFonts w:hint="eastAsia"/>
          <w:color w:val="000000"/>
          <w:spacing w:val="4"/>
        </w:rPr>
        <w:t>《中国石油吐哈</w:t>
      </w:r>
      <w:r>
        <w:rPr>
          <w:rFonts w:hint="eastAsia"/>
          <w:spacing w:val="4"/>
        </w:rPr>
        <w:t>油田神泉污水处理系统扩建项目</w:t>
      </w:r>
      <w:r>
        <w:rPr>
          <w:spacing w:val="4"/>
        </w:rPr>
        <w:t>验收监测方案</w:t>
      </w:r>
      <w:r>
        <w:rPr>
          <w:rFonts w:hint="eastAsia"/>
          <w:spacing w:val="4"/>
        </w:rPr>
        <w:t>》</w:t>
      </w:r>
      <w:r>
        <w:rPr>
          <w:spacing w:val="4"/>
        </w:rPr>
        <w:t>，</w:t>
      </w:r>
      <w:r>
        <w:rPr>
          <w:rFonts w:hint="eastAsia"/>
          <w:spacing w:val="4"/>
        </w:rPr>
        <w:t>按《监测方案》</w:t>
      </w:r>
      <w:r>
        <w:rPr>
          <w:rFonts w:hint="eastAsia"/>
          <w:spacing w:val="4"/>
          <w:lang w:eastAsia="zh-CN"/>
        </w:rPr>
        <w:t>，</w:t>
      </w:r>
      <w:r>
        <w:rPr>
          <w:rFonts w:hint="eastAsia"/>
          <w:spacing w:val="4"/>
          <w:lang w:val="en-US" w:eastAsia="zh-CN"/>
        </w:rPr>
        <w:t>由新疆吐哈石油勘探开发有限公司技术监测中心</w:t>
      </w:r>
      <w:r>
        <w:rPr>
          <w:rFonts w:hint="eastAsia"/>
          <w:spacing w:val="4"/>
        </w:rPr>
        <w:t>于20</w:t>
      </w:r>
      <w:r>
        <w:rPr>
          <w:rFonts w:hint="eastAsia"/>
          <w:spacing w:val="4"/>
          <w:lang w:val="en-US" w:eastAsia="zh-CN"/>
        </w:rPr>
        <w:t>22</w:t>
      </w:r>
      <w:r>
        <w:rPr>
          <w:rFonts w:hint="eastAsia"/>
          <w:spacing w:val="4"/>
        </w:rPr>
        <w:t>年</w:t>
      </w:r>
      <w:r>
        <w:rPr>
          <w:rFonts w:hint="eastAsia"/>
          <w:szCs w:val="28"/>
          <w:lang w:val="en-US" w:eastAsia="zh-CN"/>
        </w:rPr>
        <w:t>4</w:t>
      </w:r>
      <w:r>
        <w:rPr>
          <w:rFonts w:hint="eastAsia"/>
          <w:szCs w:val="28"/>
        </w:rPr>
        <w:t>月</w:t>
      </w:r>
      <w:r>
        <w:rPr>
          <w:rFonts w:hint="eastAsia"/>
          <w:szCs w:val="28"/>
          <w:lang w:val="en-US" w:eastAsia="zh-CN"/>
        </w:rPr>
        <w:t>12日</w:t>
      </w:r>
      <w:r>
        <w:rPr>
          <w:rFonts w:hint="eastAsia"/>
          <w:szCs w:val="28"/>
        </w:rPr>
        <w:t>-</w:t>
      </w:r>
      <w:r>
        <w:rPr>
          <w:rFonts w:hint="eastAsia"/>
          <w:szCs w:val="28"/>
          <w:lang w:val="en-US" w:eastAsia="zh-CN"/>
        </w:rPr>
        <w:t>4</w:t>
      </w:r>
      <w:r>
        <w:rPr>
          <w:rFonts w:hint="eastAsia"/>
          <w:szCs w:val="28"/>
        </w:rPr>
        <w:t>月</w:t>
      </w:r>
      <w:r>
        <w:rPr>
          <w:rFonts w:hint="eastAsia"/>
          <w:szCs w:val="28"/>
          <w:lang w:val="en-US" w:eastAsia="zh-CN"/>
        </w:rPr>
        <w:t>13</w:t>
      </w:r>
      <w:r>
        <w:rPr>
          <w:szCs w:val="28"/>
        </w:rPr>
        <w:t>日</w:t>
      </w:r>
      <w:r>
        <w:rPr>
          <w:spacing w:val="4"/>
        </w:rPr>
        <w:t>对</w:t>
      </w:r>
      <w:r>
        <w:rPr>
          <w:rFonts w:hint="eastAsia"/>
          <w:spacing w:val="4"/>
        </w:rPr>
        <w:t>神泉污水处理站</w:t>
      </w:r>
      <w:r>
        <w:rPr>
          <w:spacing w:val="4"/>
        </w:rPr>
        <w:t>的噪声排放状况进行了现场监测，</w:t>
      </w:r>
      <w:r>
        <w:rPr>
          <w:rFonts w:hint="eastAsia"/>
          <w:spacing w:val="4"/>
          <w:lang w:val="en-US" w:eastAsia="zh-CN"/>
        </w:rPr>
        <w:t>由</w:t>
      </w:r>
      <w:r>
        <w:rPr>
          <w:color w:val="000000"/>
          <w:spacing w:val="4"/>
        </w:rPr>
        <w:t>新疆水清清环境监测技术服务有限公司</w:t>
      </w:r>
      <w:r>
        <w:rPr>
          <w:rFonts w:hint="eastAsia"/>
          <w:color w:val="000000"/>
          <w:spacing w:val="4"/>
          <w:lang w:val="en-US" w:eastAsia="zh-CN"/>
        </w:rPr>
        <w:t>对噪声、固体废物进行现场调查，</w:t>
      </w:r>
      <w:r>
        <w:rPr>
          <w:spacing w:val="4"/>
        </w:rPr>
        <w:t>在此基础上编制了本</w:t>
      </w:r>
      <w:r>
        <w:rPr>
          <w:rFonts w:hint="eastAsia"/>
          <w:spacing w:val="4"/>
        </w:rPr>
        <w:t>次</w:t>
      </w:r>
      <w:r>
        <w:rPr>
          <w:spacing w:val="4"/>
        </w:rPr>
        <w:t>验收监测报告。</w:t>
      </w:r>
    </w:p>
    <w:p>
      <w:pPr>
        <w:pStyle w:val="2"/>
        <w:rPr>
          <w:szCs w:val="32"/>
        </w:rPr>
      </w:pPr>
      <w:r>
        <w:rPr>
          <w:szCs w:val="32"/>
        </w:rPr>
        <w:br w:type="page"/>
      </w:r>
    </w:p>
    <w:p>
      <w:pPr>
        <w:pStyle w:val="2"/>
        <w:numPr>
          <w:ilvl w:val="0"/>
          <w:numId w:val="3"/>
        </w:numPr>
        <w:spacing w:line="600" w:lineRule="auto"/>
        <w:rPr>
          <w:szCs w:val="32"/>
        </w:rPr>
      </w:pPr>
      <w:bookmarkStart w:id="38" w:name="_Toc29837"/>
      <w:r>
        <w:rPr>
          <w:szCs w:val="32"/>
        </w:rPr>
        <w:t>验收监测依据</w:t>
      </w:r>
      <w:bookmarkEnd w:id="29"/>
      <w:bookmarkEnd w:id="30"/>
      <w:bookmarkEnd w:id="31"/>
      <w:bookmarkEnd w:id="32"/>
      <w:bookmarkEnd w:id="33"/>
      <w:bookmarkEnd w:id="34"/>
      <w:bookmarkEnd w:id="35"/>
      <w:bookmarkEnd w:id="36"/>
      <w:bookmarkEnd w:id="37"/>
      <w:bookmarkEnd w:id="38"/>
    </w:p>
    <w:p>
      <w:pPr>
        <w:keepNext w:val="0"/>
        <w:keepLines w:val="0"/>
        <w:pageBreakBefore w:val="0"/>
        <w:widowControl w:val="0"/>
        <w:kinsoku/>
        <w:wordWrap/>
        <w:overflowPunct/>
        <w:topLinePunct w:val="0"/>
        <w:bidi w:val="0"/>
        <w:snapToGrid/>
        <w:ind w:left="0" w:leftChars="0" w:right="0" w:rightChars="0" w:firstLine="560" w:firstLineChars="200"/>
        <w:textAlignment w:val="auto"/>
        <w:outlineLvl w:val="9"/>
        <w:rPr>
          <w:szCs w:val="28"/>
        </w:rPr>
      </w:pPr>
      <w:r>
        <w:rPr>
          <w:szCs w:val="28"/>
        </w:rPr>
        <w:t>1</w:t>
      </w:r>
      <w:r>
        <w:rPr>
          <w:rFonts w:hint="eastAsia"/>
          <w:szCs w:val="28"/>
        </w:rPr>
        <w:t>、</w:t>
      </w:r>
      <w:r>
        <w:rPr>
          <w:szCs w:val="28"/>
        </w:rPr>
        <w:t>《中华人民共和国环境保护法》（2015</w:t>
      </w:r>
      <w:r>
        <w:rPr>
          <w:rFonts w:hint="eastAsia"/>
          <w:szCs w:val="28"/>
          <w:lang w:val="en-US" w:eastAsia="zh-CN"/>
        </w:rPr>
        <w:t>年</w:t>
      </w:r>
      <w:r>
        <w:rPr>
          <w:szCs w:val="28"/>
        </w:rPr>
        <w:t>1</w:t>
      </w:r>
      <w:r>
        <w:rPr>
          <w:rFonts w:hint="eastAsia"/>
          <w:szCs w:val="28"/>
          <w:lang w:val="en-US" w:eastAsia="zh-CN"/>
        </w:rPr>
        <w:t>月</w:t>
      </w:r>
      <w:r>
        <w:rPr>
          <w:szCs w:val="28"/>
        </w:rPr>
        <w:t>1</w:t>
      </w:r>
      <w:r>
        <w:rPr>
          <w:rFonts w:hint="eastAsia"/>
          <w:szCs w:val="28"/>
          <w:lang w:val="en-US" w:eastAsia="zh-CN"/>
        </w:rPr>
        <w:t>日</w:t>
      </w:r>
      <w:r>
        <w:rPr>
          <w:szCs w:val="28"/>
        </w:rPr>
        <w:t>）；</w:t>
      </w:r>
    </w:p>
    <w:p>
      <w:pPr>
        <w:keepNext w:val="0"/>
        <w:keepLines w:val="0"/>
        <w:pageBreakBefore w:val="0"/>
        <w:widowControl w:val="0"/>
        <w:kinsoku/>
        <w:wordWrap/>
        <w:overflowPunct/>
        <w:topLinePunct w:val="0"/>
        <w:bidi w:val="0"/>
        <w:snapToGrid/>
        <w:ind w:left="0" w:leftChars="0" w:right="0" w:rightChars="0" w:firstLine="560" w:firstLineChars="200"/>
        <w:textAlignment w:val="auto"/>
        <w:outlineLvl w:val="9"/>
      </w:pPr>
      <w:r>
        <w:rPr>
          <w:szCs w:val="28"/>
        </w:rPr>
        <w:t>2</w:t>
      </w:r>
      <w:r>
        <w:rPr>
          <w:rFonts w:hint="eastAsia"/>
          <w:szCs w:val="28"/>
        </w:rPr>
        <w:t>、</w:t>
      </w:r>
      <w:r>
        <w:rPr>
          <w:szCs w:val="28"/>
        </w:rPr>
        <w:t>《中华人民共和国环境影响评价法》（2016</w:t>
      </w:r>
      <w:r>
        <w:rPr>
          <w:rFonts w:hint="eastAsia"/>
          <w:szCs w:val="28"/>
          <w:lang w:val="en-US" w:eastAsia="zh-CN"/>
        </w:rPr>
        <w:t>年</w:t>
      </w:r>
      <w:r>
        <w:rPr>
          <w:szCs w:val="28"/>
        </w:rPr>
        <w:t>9</w:t>
      </w:r>
      <w:r>
        <w:rPr>
          <w:rFonts w:hint="eastAsia"/>
          <w:szCs w:val="28"/>
          <w:lang w:val="en-US" w:eastAsia="zh-CN"/>
        </w:rPr>
        <w:t>月</w:t>
      </w:r>
      <w:r>
        <w:rPr>
          <w:szCs w:val="28"/>
        </w:rPr>
        <w:t>1</w:t>
      </w:r>
      <w:r>
        <w:rPr>
          <w:rFonts w:hint="eastAsia"/>
          <w:szCs w:val="28"/>
          <w:lang w:val="en-US" w:eastAsia="zh-CN"/>
        </w:rPr>
        <w:t>日</w:t>
      </w:r>
      <w:r>
        <w:rPr>
          <w:szCs w:val="28"/>
        </w:rPr>
        <w:t>）；</w:t>
      </w:r>
    </w:p>
    <w:p>
      <w:pPr>
        <w:keepNext w:val="0"/>
        <w:keepLines w:val="0"/>
        <w:pageBreakBefore w:val="0"/>
        <w:widowControl w:val="0"/>
        <w:kinsoku/>
        <w:wordWrap/>
        <w:overflowPunct/>
        <w:topLinePunct w:val="0"/>
        <w:bidi w:val="0"/>
        <w:snapToGrid/>
        <w:ind w:left="0" w:leftChars="0" w:right="0" w:rightChars="0" w:firstLine="576" w:firstLineChars="200"/>
        <w:textAlignment w:val="auto"/>
        <w:outlineLvl w:val="9"/>
        <w:rPr>
          <w:color w:val="000000"/>
          <w:spacing w:val="4"/>
        </w:rPr>
      </w:pPr>
      <w:r>
        <w:rPr>
          <w:rFonts w:hint="eastAsia"/>
          <w:color w:val="000000"/>
          <w:spacing w:val="4"/>
        </w:rPr>
        <w:t>3、</w:t>
      </w:r>
      <w:r>
        <w:rPr>
          <w:color w:val="000000"/>
          <w:spacing w:val="4"/>
        </w:rPr>
        <w:t>《</w:t>
      </w:r>
      <w:r>
        <w:rPr>
          <w:rFonts w:hint="eastAsia"/>
          <w:color w:val="000000"/>
          <w:spacing w:val="4"/>
        </w:rPr>
        <w:t>国务院关于修改&lt;</w:t>
      </w:r>
      <w:r>
        <w:rPr>
          <w:color w:val="000000"/>
          <w:spacing w:val="4"/>
        </w:rPr>
        <w:t>建设项目环境保护管理条例</w:t>
      </w:r>
      <w:r>
        <w:rPr>
          <w:rFonts w:hint="eastAsia"/>
          <w:color w:val="000000"/>
          <w:spacing w:val="4"/>
        </w:rPr>
        <w:t>&gt;的决定</w:t>
      </w:r>
      <w:r>
        <w:rPr>
          <w:color w:val="000000"/>
          <w:spacing w:val="4"/>
        </w:rPr>
        <w:t>》（国务院令</w:t>
      </w:r>
      <w:r>
        <w:rPr>
          <w:rFonts w:hint="eastAsia"/>
          <w:color w:val="000000"/>
          <w:spacing w:val="4"/>
        </w:rPr>
        <w:t>682</w:t>
      </w:r>
      <w:r>
        <w:rPr>
          <w:color w:val="000000"/>
          <w:spacing w:val="4"/>
        </w:rPr>
        <w:t>号，</w:t>
      </w:r>
      <w:r>
        <w:rPr>
          <w:rFonts w:hint="eastAsia"/>
          <w:color w:val="000000"/>
          <w:spacing w:val="4"/>
        </w:rPr>
        <w:t>2017</w:t>
      </w:r>
      <w:r>
        <w:rPr>
          <w:rFonts w:hint="eastAsia"/>
          <w:color w:val="000000"/>
          <w:spacing w:val="4"/>
          <w:lang w:val="en-US" w:eastAsia="zh-CN"/>
        </w:rPr>
        <w:t>年</w:t>
      </w:r>
      <w:r>
        <w:rPr>
          <w:rFonts w:hint="eastAsia"/>
          <w:color w:val="000000"/>
          <w:spacing w:val="4"/>
        </w:rPr>
        <w:t>10</w:t>
      </w:r>
      <w:r>
        <w:rPr>
          <w:rFonts w:hint="eastAsia"/>
          <w:color w:val="000000"/>
          <w:spacing w:val="4"/>
          <w:lang w:val="en-US" w:eastAsia="zh-CN"/>
        </w:rPr>
        <w:t>月</w:t>
      </w:r>
      <w:r>
        <w:rPr>
          <w:rFonts w:hint="eastAsia"/>
          <w:color w:val="000000"/>
          <w:spacing w:val="4"/>
        </w:rPr>
        <w:t>1</w:t>
      </w:r>
      <w:r>
        <w:rPr>
          <w:rFonts w:hint="eastAsia"/>
          <w:color w:val="000000"/>
          <w:spacing w:val="4"/>
          <w:lang w:val="en-US" w:eastAsia="zh-CN"/>
        </w:rPr>
        <w:t>日</w:t>
      </w:r>
      <w:r>
        <w:rPr>
          <w:color w:val="000000"/>
          <w:spacing w:val="4"/>
        </w:rPr>
        <w:t>）；</w:t>
      </w:r>
    </w:p>
    <w:p>
      <w:pPr>
        <w:pStyle w:val="55"/>
        <w:keepNext w:val="0"/>
        <w:keepLines w:val="0"/>
        <w:pageBreakBefore w:val="0"/>
        <w:widowControl w:val="0"/>
        <w:kinsoku/>
        <w:wordWrap/>
        <w:overflowPunct/>
        <w:topLinePunct w:val="0"/>
        <w:bidi w:val="0"/>
        <w:snapToGrid/>
        <w:ind w:left="0" w:leftChars="0" w:right="0" w:rightChars="0" w:firstLine="576" w:firstLineChars="200"/>
        <w:textAlignment w:val="auto"/>
        <w:outlineLvl w:val="9"/>
        <w:rPr>
          <w:rFonts w:ascii="Times New Roman" w:eastAsia="宋体" w:cs="Times New Roman"/>
          <w:spacing w:val="4"/>
          <w:kern w:val="2"/>
          <w:sz w:val="28"/>
        </w:rPr>
      </w:pPr>
      <w:r>
        <w:rPr>
          <w:rFonts w:hint="eastAsia" w:ascii="Times New Roman" w:eastAsia="宋体" w:cs="Times New Roman"/>
          <w:spacing w:val="4"/>
          <w:kern w:val="2"/>
          <w:sz w:val="28"/>
        </w:rPr>
        <w:t>4、《大气污染物综合排放标准》（GB16297-1996）；</w:t>
      </w:r>
    </w:p>
    <w:p>
      <w:pPr>
        <w:keepNext w:val="0"/>
        <w:keepLines w:val="0"/>
        <w:pageBreakBefore w:val="0"/>
        <w:widowControl w:val="0"/>
        <w:kinsoku/>
        <w:wordWrap/>
        <w:overflowPunct/>
        <w:topLinePunct w:val="0"/>
        <w:bidi w:val="0"/>
        <w:snapToGrid/>
        <w:ind w:left="0" w:leftChars="0" w:right="0" w:rightChars="0" w:firstLine="576" w:firstLineChars="200"/>
        <w:textAlignment w:val="auto"/>
        <w:outlineLvl w:val="9"/>
        <w:rPr>
          <w:color w:val="000000"/>
          <w:spacing w:val="4"/>
        </w:rPr>
      </w:pPr>
      <w:r>
        <w:rPr>
          <w:rFonts w:hint="eastAsia"/>
          <w:color w:val="000000"/>
          <w:spacing w:val="4"/>
        </w:rPr>
        <w:t>5、《工业企业厂界环境噪声排放标准》(GB12348—2008)</w:t>
      </w:r>
      <w:r>
        <w:rPr>
          <w:color w:val="000000"/>
          <w:spacing w:val="4"/>
        </w:rPr>
        <w:t>；</w:t>
      </w:r>
    </w:p>
    <w:p>
      <w:pPr>
        <w:keepNext w:val="0"/>
        <w:keepLines w:val="0"/>
        <w:pageBreakBefore w:val="0"/>
        <w:widowControl w:val="0"/>
        <w:kinsoku/>
        <w:wordWrap/>
        <w:overflowPunct/>
        <w:topLinePunct w:val="0"/>
        <w:bidi w:val="0"/>
        <w:snapToGrid/>
        <w:ind w:left="0" w:leftChars="0" w:right="0" w:rightChars="0" w:firstLine="576" w:firstLineChars="200"/>
        <w:textAlignment w:val="auto"/>
        <w:outlineLvl w:val="9"/>
        <w:rPr>
          <w:color w:val="000000"/>
          <w:spacing w:val="4"/>
        </w:rPr>
      </w:pPr>
      <w:r>
        <w:rPr>
          <w:rFonts w:hint="eastAsia"/>
          <w:color w:val="000000"/>
          <w:spacing w:val="4"/>
        </w:rPr>
        <w:t>6、《油田注入水分级水质指标》（Q/SY XJ0030-2015）回注标准；</w:t>
      </w:r>
    </w:p>
    <w:p>
      <w:pPr>
        <w:keepNext w:val="0"/>
        <w:keepLines w:val="0"/>
        <w:pageBreakBefore w:val="0"/>
        <w:widowControl w:val="0"/>
        <w:kinsoku/>
        <w:wordWrap/>
        <w:overflowPunct/>
        <w:topLinePunct w:val="0"/>
        <w:bidi w:val="0"/>
        <w:snapToGrid/>
        <w:ind w:left="0" w:leftChars="0" w:right="0" w:rightChars="0" w:firstLine="576" w:firstLineChars="200"/>
        <w:textAlignment w:val="auto"/>
        <w:outlineLvl w:val="9"/>
        <w:rPr>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7、《中国石油吐哈油田神泉污水处理系统扩建项目</w:t>
      </w:r>
      <w:r>
        <w:rPr>
          <w:color w:val="000000" w:themeColor="text1"/>
          <w:spacing w:val="4"/>
          <w14:textFill>
            <w14:solidFill>
              <w14:schemeClr w14:val="tx1"/>
            </w14:solidFill>
          </w14:textFill>
        </w:rPr>
        <w:t>影响评价报告书</w:t>
      </w:r>
      <w:r>
        <w:rPr>
          <w:rFonts w:hint="eastAsia"/>
          <w:color w:val="000000" w:themeColor="text1"/>
          <w:spacing w:val="4"/>
          <w14:textFill>
            <w14:solidFill>
              <w14:schemeClr w14:val="tx1"/>
            </w14:solidFill>
          </w14:textFill>
        </w:rPr>
        <w:t>》</w:t>
      </w:r>
      <w:r>
        <w:rPr>
          <w:color w:val="000000" w:themeColor="text1"/>
          <w:spacing w:val="4"/>
          <w14:textFill>
            <w14:solidFill>
              <w14:schemeClr w14:val="tx1"/>
            </w14:solidFill>
          </w14:textFill>
        </w:rPr>
        <w:t>，</w:t>
      </w:r>
      <w:r>
        <w:rPr>
          <w:rFonts w:hint="eastAsia"/>
          <w:color w:val="000000" w:themeColor="text1"/>
          <w:spacing w:val="4"/>
          <w:lang w:val="zh-CN"/>
          <w14:textFill>
            <w14:solidFill>
              <w14:schemeClr w14:val="tx1"/>
            </w14:solidFill>
          </w14:textFill>
        </w:rPr>
        <w:t>新疆天地源环保科技发展有限公司</w:t>
      </w:r>
      <w:r>
        <w:rPr>
          <w:color w:val="000000" w:themeColor="text1"/>
          <w:spacing w:val="4"/>
          <w14:textFill>
            <w14:solidFill>
              <w14:schemeClr w14:val="tx1"/>
            </w14:solidFill>
          </w14:textFill>
        </w:rPr>
        <w:t>，201</w:t>
      </w:r>
      <w:r>
        <w:rPr>
          <w:rFonts w:hint="eastAsia"/>
          <w:color w:val="000000" w:themeColor="text1"/>
          <w:spacing w:val="4"/>
          <w14:textFill>
            <w14:solidFill>
              <w14:schemeClr w14:val="tx1"/>
            </w14:solidFill>
          </w14:textFill>
        </w:rPr>
        <w:t>6</w:t>
      </w:r>
      <w:r>
        <w:rPr>
          <w:rFonts w:hint="eastAsia"/>
          <w:color w:val="000000" w:themeColor="text1"/>
          <w:spacing w:val="4"/>
          <w:lang w:val="en-US" w:eastAsia="zh-CN"/>
          <w14:textFill>
            <w14:solidFill>
              <w14:schemeClr w14:val="tx1"/>
            </w14:solidFill>
          </w14:textFill>
        </w:rPr>
        <w:t>年</w:t>
      </w:r>
      <w:r>
        <w:rPr>
          <w:rFonts w:hint="eastAsia"/>
          <w:color w:val="000000" w:themeColor="text1"/>
          <w:spacing w:val="4"/>
          <w14:textFill>
            <w14:solidFill>
              <w14:schemeClr w14:val="tx1"/>
            </w14:solidFill>
          </w14:textFill>
        </w:rPr>
        <w:t>7</w:t>
      </w:r>
      <w:r>
        <w:rPr>
          <w:rFonts w:hint="eastAsia"/>
          <w:color w:val="000000" w:themeColor="text1"/>
          <w:spacing w:val="4"/>
          <w:lang w:val="en-US" w:eastAsia="zh-CN"/>
          <w14:textFill>
            <w14:solidFill>
              <w14:schemeClr w14:val="tx1"/>
            </w14:solidFill>
          </w14:textFill>
        </w:rPr>
        <w:t>月</w:t>
      </w:r>
      <w:r>
        <w:rPr>
          <w:color w:val="000000" w:themeColor="text1"/>
          <w:spacing w:val="4"/>
          <w14:textFill>
            <w14:solidFill>
              <w14:schemeClr w14:val="tx1"/>
            </w14:solidFill>
          </w14:textFill>
        </w:rPr>
        <w:t>；</w:t>
      </w:r>
    </w:p>
    <w:p>
      <w:pPr>
        <w:keepNext w:val="0"/>
        <w:keepLines w:val="0"/>
        <w:pageBreakBefore w:val="0"/>
        <w:widowControl w:val="0"/>
        <w:kinsoku/>
        <w:wordWrap/>
        <w:overflowPunct/>
        <w:topLinePunct w:val="0"/>
        <w:bidi w:val="0"/>
        <w:snapToGrid/>
        <w:ind w:left="0" w:leftChars="0" w:right="0" w:rightChars="0" w:firstLine="576" w:firstLineChars="200"/>
        <w:textAlignment w:val="auto"/>
        <w:outlineLvl w:val="9"/>
        <w:rPr>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8、</w:t>
      </w:r>
      <w:r>
        <w:rPr>
          <w:color w:val="000000" w:themeColor="text1"/>
          <w:spacing w:val="4"/>
          <w14:textFill>
            <w14:solidFill>
              <w14:schemeClr w14:val="tx1"/>
            </w14:solidFill>
          </w14:textFill>
        </w:rPr>
        <w:t>《</w:t>
      </w:r>
      <w:r>
        <w:rPr>
          <w:rFonts w:hint="eastAsia"/>
          <w:color w:val="000000" w:themeColor="text1"/>
          <w:spacing w:val="4"/>
          <w14:textFill>
            <w14:solidFill>
              <w14:schemeClr w14:val="tx1"/>
            </w14:solidFill>
          </w14:textFill>
        </w:rPr>
        <w:t>关于中国石油吐哈油田神泉污水处理系统扩建项目</w:t>
      </w:r>
      <w:r>
        <w:rPr>
          <w:color w:val="000000" w:themeColor="text1"/>
          <w:spacing w:val="4"/>
          <w14:textFill>
            <w14:solidFill>
              <w14:schemeClr w14:val="tx1"/>
            </w14:solidFill>
          </w14:textFill>
        </w:rPr>
        <w:t>环境影响评价报告书的批复》（</w:t>
      </w:r>
      <w:r>
        <w:rPr>
          <w:rFonts w:hint="eastAsia"/>
          <w:color w:val="000000" w:themeColor="text1"/>
          <w:spacing w:val="4"/>
          <w14:textFill>
            <w14:solidFill>
              <w14:schemeClr w14:val="tx1"/>
            </w14:solidFill>
          </w14:textFill>
        </w:rPr>
        <w:t>新环函</w:t>
      </w:r>
      <w:r>
        <w:rPr>
          <w:color w:val="000000" w:themeColor="text1"/>
          <w:spacing w:val="4"/>
          <w14:textFill>
            <w14:solidFill>
              <w14:schemeClr w14:val="tx1"/>
            </w14:solidFill>
          </w14:textFill>
        </w:rPr>
        <w:t>[201</w:t>
      </w:r>
      <w:r>
        <w:rPr>
          <w:rFonts w:hint="eastAsia"/>
          <w:color w:val="000000" w:themeColor="text1"/>
          <w:spacing w:val="4"/>
          <w14:textFill>
            <w14:solidFill>
              <w14:schemeClr w14:val="tx1"/>
            </w14:solidFill>
          </w14:textFill>
        </w:rPr>
        <w:t>6</w:t>
      </w:r>
      <w:r>
        <w:rPr>
          <w:color w:val="000000" w:themeColor="text1"/>
          <w:spacing w:val="4"/>
          <w14:textFill>
            <w14:solidFill>
              <w14:schemeClr w14:val="tx1"/>
            </w14:solidFill>
          </w14:textFill>
        </w:rPr>
        <w:t>]</w:t>
      </w:r>
      <w:r>
        <w:rPr>
          <w:rFonts w:hint="eastAsia"/>
          <w:color w:val="000000" w:themeColor="text1"/>
          <w:spacing w:val="4"/>
          <w14:textFill>
            <w14:solidFill>
              <w14:schemeClr w14:val="tx1"/>
            </w14:solidFill>
          </w14:textFill>
        </w:rPr>
        <w:t>1720</w:t>
      </w:r>
      <w:r>
        <w:rPr>
          <w:color w:val="000000" w:themeColor="text1"/>
          <w:spacing w:val="4"/>
          <w14:textFill>
            <w14:solidFill>
              <w14:schemeClr w14:val="tx1"/>
            </w14:solidFill>
          </w14:textFill>
        </w:rPr>
        <w:t>号），</w:t>
      </w:r>
      <w:r>
        <w:rPr>
          <w:rFonts w:hint="eastAsia"/>
          <w:color w:val="000000" w:themeColor="text1"/>
          <w:spacing w:val="4"/>
          <w14:textFill>
            <w14:solidFill>
              <w14:schemeClr w14:val="tx1"/>
            </w14:solidFill>
          </w14:textFill>
        </w:rPr>
        <w:t>新疆维吾尔自治区环境保护厅，</w:t>
      </w:r>
      <w:r>
        <w:rPr>
          <w:color w:val="000000" w:themeColor="text1"/>
          <w:spacing w:val="4"/>
          <w14:textFill>
            <w14:solidFill>
              <w14:schemeClr w14:val="tx1"/>
            </w14:solidFill>
          </w14:textFill>
        </w:rPr>
        <w:t>201</w:t>
      </w:r>
      <w:r>
        <w:rPr>
          <w:rFonts w:hint="eastAsia"/>
          <w:color w:val="000000" w:themeColor="text1"/>
          <w:spacing w:val="4"/>
          <w14:textFill>
            <w14:solidFill>
              <w14:schemeClr w14:val="tx1"/>
            </w14:solidFill>
          </w14:textFill>
        </w:rPr>
        <w:t>6</w:t>
      </w:r>
      <w:r>
        <w:rPr>
          <w:rFonts w:hint="eastAsia"/>
          <w:color w:val="000000" w:themeColor="text1"/>
          <w:spacing w:val="4"/>
          <w:lang w:val="en-US" w:eastAsia="zh-CN"/>
          <w14:textFill>
            <w14:solidFill>
              <w14:schemeClr w14:val="tx1"/>
            </w14:solidFill>
          </w14:textFill>
        </w:rPr>
        <w:t>年</w:t>
      </w:r>
      <w:r>
        <w:rPr>
          <w:rFonts w:hint="eastAsia"/>
          <w:color w:val="000000" w:themeColor="text1"/>
          <w:spacing w:val="4"/>
          <w14:textFill>
            <w14:solidFill>
              <w14:schemeClr w14:val="tx1"/>
            </w14:solidFill>
          </w14:textFill>
        </w:rPr>
        <w:t>11</w:t>
      </w:r>
      <w:r>
        <w:rPr>
          <w:rFonts w:hint="eastAsia"/>
          <w:color w:val="000000" w:themeColor="text1"/>
          <w:spacing w:val="4"/>
          <w:lang w:val="en-US" w:eastAsia="zh-CN"/>
          <w14:textFill>
            <w14:solidFill>
              <w14:schemeClr w14:val="tx1"/>
            </w14:solidFill>
          </w14:textFill>
        </w:rPr>
        <w:t>月</w:t>
      </w:r>
      <w:r>
        <w:rPr>
          <w:rFonts w:hint="eastAsia"/>
          <w:color w:val="000000" w:themeColor="text1"/>
          <w:spacing w:val="4"/>
          <w14:textFill>
            <w14:solidFill>
              <w14:schemeClr w14:val="tx1"/>
            </w14:solidFill>
          </w14:textFill>
        </w:rPr>
        <w:t>22</w:t>
      </w:r>
      <w:r>
        <w:rPr>
          <w:rFonts w:hint="eastAsia"/>
          <w:color w:val="000000" w:themeColor="text1"/>
          <w:spacing w:val="4"/>
          <w:lang w:val="en-US" w:eastAsia="zh-CN"/>
          <w14:textFill>
            <w14:solidFill>
              <w14:schemeClr w14:val="tx1"/>
            </w14:solidFill>
          </w14:textFill>
        </w:rPr>
        <w:t>日</w:t>
      </w:r>
      <w:r>
        <w:rPr>
          <w:rFonts w:hint="eastAsia"/>
          <w:color w:val="000000" w:themeColor="text1"/>
          <w:spacing w:val="4"/>
          <w14:textFill>
            <w14:solidFill>
              <w14:schemeClr w14:val="tx1"/>
            </w14:solidFill>
          </w14:textFill>
        </w:rPr>
        <w:t>；</w:t>
      </w:r>
    </w:p>
    <w:p>
      <w:pPr>
        <w:keepNext w:val="0"/>
        <w:keepLines w:val="0"/>
        <w:pageBreakBefore w:val="0"/>
        <w:widowControl w:val="0"/>
        <w:kinsoku/>
        <w:wordWrap/>
        <w:overflowPunct/>
        <w:topLinePunct w:val="0"/>
        <w:bidi w:val="0"/>
        <w:snapToGrid/>
        <w:ind w:left="0" w:leftChars="0" w:right="0" w:rightChars="0" w:firstLine="576" w:firstLineChars="200"/>
        <w:textAlignment w:val="auto"/>
        <w:outlineLvl w:val="9"/>
        <w:rPr>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9、神泉污水处理系统扩建工程施工总结，2017年7月19日；</w:t>
      </w:r>
    </w:p>
    <w:p>
      <w:pPr>
        <w:keepNext w:val="0"/>
        <w:keepLines w:val="0"/>
        <w:pageBreakBefore w:val="0"/>
        <w:widowControl w:val="0"/>
        <w:kinsoku/>
        <w:wordWrap/>
        <w:overflowPunct/>
        <w:topLinePunct w:val="0"/>
        <w:bidi w:val="0"/>
        <w:snapToGrid/>
        <w:ind w:left="0" w:leftChars="0" w:right="0" w:rightChars="0" w:firstLine="576" w:firstLineChars="200"/>
        <w:textAlignment w:val="auto"/>
        <w:outlineLvl w:val="9"/>
        <w:rPr>
          <w:rFonts w:hint="eastAsia"/>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10、《神泉污水处理系统扩建工程项目环境保护专项验收监理工作总结报告》新疆吐哈石油项目管理咨询有限公司，</w:t>
      </w:r>
      <w:r>
        <w:rPr>
          <w:rFonts w:hint="eastAsia"/>
          <w:color w:val="000000" w:themeColor="text1"/>
          <w:spacing w:val="4"/>
          <w:lang w:val="en-US" w:eastAsia="zh-CN"/>
          <w14:textFill>
            <w14:solidFill>
              <w14:schemeClr w14:val="tx1"/>
            </w14:solidFill>
          </w14:textFill>
        </w:rPr>
        <w:t>2017</w:t>
      </w:r>
      <w:r>
        <w:rPr>
          <w:rFonts w:hint="eastAsia"/>
          <w:color w:val="000000" w:themeColor="text1"/>
          <w:spacing w:val="4"/>
          <w14:textFill>
            <w14:solidFill>
              <w14:schemeClr w14:val="tx1"/>
            </w14:solidFill>
          </w14:textFill>
        </w:rPr>
        <w:t>年</w:t>
      </w:r>
      <w:r>
        <w:rPr>
          <w:rFonts w:hint="eastAsia"/>
          <w:color w:val="000000" w:themeColor="text1"/>
          <w:spacing w:val="4"/>
          <w:lang w:val="en-US" w:eastAsia="zh-CN"/>
          <w14:textFill>
            <w14:solidFill>
              <w14:schemeClr w14:val="tx1"/>
            </w14:solidFill>
          </w14:textFill>
        </w:rPr>
        <w:t>11</w:t>
      </w:r>
      <w:r>
        <w:rPr>
          <w:rFonts w:hint="eastAsia"/>
          <w:color w:val="000000" w:themeColor="text1"/>
          <w:spacing w:val="4"/>
          <w14:textFill>
            <w14:solidFill>
              <w14:schemeClr w14:val="tx1"/>
            </w14:solidFill>
          </w14:textFill>
        </w:rPr>
        <w:t>月；</w:t>
      </w:r>
    </w:p>
    <w:p>
      <w:pPr>
        <w:keepNext w:val="0"/>
        <w:keepLines w:val="0"/>
        <w:pageBreakBefore w:val="0"/>
        <w:widowControl w:val="0"/>
        <w:kinsoku/>
        <w:wordWrap/>
        <w:overflowPunct/>
        <w:topLinePunct w:val="0"/>
        <w:bidi w:val="0"/>
        <w:snapToGrid/>
        <w:ind w:left="0" w:leftChars="0" w:right="0" w:rightChars="0" w:firstLine="576" w:firstLineChars="200"/>
        <w:textAlignment w:val="auto"/>
        <w:outlineLvl w:val="9"/>
        <w:rPr>
          <w:rFonts w:hint="eastAsia"/>
          <w:color w:val="000000" w:themeColor="text1"/>
          <w:spacing w:val="4"/>
          <w14:textFill>
            <w14:solidFill>
              <w14:schemeClr w14:val="tx1"/>
            </w14:solidFill>
          </w14:textFill>
        </w:rPr>
      </w:pPr>
      <w:bookmarkStart w:id="39" w:name="_Toc22288"/>
      <w:bookmarkStart w:id="40" w:name="_Toc153338176"/>
      <w:bookmarkStart w:id="41" w:name="_Toc9020"/>
      <w:bookmarkStart w:id="42" w:name="_Toc212304312"/>
      <w:bookmarkStart w:id="43" w:name="_Toc153216315"/>
      <w:bookmarkStart w:id="44" w:name="_Toc277666204"/>
      <w:bookmarkStart w:id="45" w:name="_Toc346635698"/>
      <w:bookmarkStart w:id="46" w:name="_Toc212303505"/>
      <w:bookmarkStart w:id="47" w:name="_Toc3295"/>
      <w:r>
        <w:rPr>
          <w:rFonts w:hint="eastAsia"/>
          <w:color w:val="000000" w:themeColor="text1"/>
          <w:spacing w:val="4"/>
          <w14:textFill>
            <w14:solidFill>
              <w14:schemeClr w14:val="tx1"/>
            </w14:solidFill>
          </w14:textFill>
        </w:rPr>
        <w:t>11、</w:t>
      </w:r>
      <w:r>
        <w:rPr>
          <w:rFonts w:hint="eastAsia"/>
          <w:color w:val="000000" w:themeColor="text1"/>
          <w:spacing w:val="4"/>
          <w:lang w:eastAsia="zh-CN"/>
          <w14:textFill>
            <w14:solidFill>
              <w14:schemeClr w14:val="tx1"/>
            </w14:solidFill>
          </w14:textFill>
        </w:rPr>
        <w:t>《</w:t>
      </w:r>
      <w:r>
        <w:rPr>
          <w:rFonts w:hint="eastAsia"/>
          <w:color w:val="000000" w:themeColor="text1"/>
          <w:spacing w:val="4"/>
          <w14:textFill>
            <w14:solidFill>
              <w14:schemeClr w14:val="tx1"/>
            </w14:solidFill>
          </w14:textFill>
        </w:rPr>
        <w:t>中国石油吐哈油田神泉污水处理系统扩建项目环境验收监测委托书</w:t>
      </w:r>
      <w:r>
        <w:rPr>
          <w:rFonts w:hint="eastAsia"/>
          <w:color w:val="000000" w:themeColor="text1"/>
          <w:spacing w:val="4"/>
          <w:lang w:eastAsia="zh-CN"/>
          <w14:textFill>
            <w14:solidFill>
              <w14:schemeClr w14:val="tx1"/>
            </w14:solidFill>
          </w14:textFill>
        </w:rPr>
        <w:t>》，中国石油吐哈油田</w:t>
      </w:r>
      <w:r>
        <w:rPr>
          <w:rFonts w:hint="eastAsia"/>
          <w:color w:val="000000" w:themeColor="text1"/>
          <w:spacing w:val="4"/>
          <w:lang w:val="en-US" w:eastAsia="zh-CN"/>
          <w14:textFill>
            <w14:solidFill>
              <w14:schemeClr w14:val="tx1"/>
            </w14:solidFill>
          </w14:textFill>
        </w:rPr>
        <w:t>吐鲁番采油管理区</w:t>
      </w:r>
      <w:r>
        <w:rPr>
          <w:rFonts w:hint="eastAsia"/>
          <w:color w:val="000000" w:themeColor="text1"/>
          <w:spacing w:val="4"/>
          <w:lang w:eastAsia="zh-CN"/>
          <w14:textFill>
            <w14:solidFill>
              <w14:schemeClr w14:val="tx1"/>
            </w14:solidFill>
          </w14:textFill>
        </w:rPr>
        <w:t>，</w:t>
      </w:r>
      <w:r>
        <w:rPr>
          <w:rFonts w:hint="eastAsia"/>
          <w:color w:val="000000" w:themeColor="text1"/>
          <w:spacing w:val="4"/>
          <w14:textFill>
            <w14:solidFill>
              <w14:schemeClr w14:val="tx1"/>
            </w14:solidFill>
          </w14:textFill>
        </w:rPr>
        <w:t>2017</w:t>
      </w:r>
      <w:r>
        <w:rPr>
          <w:rFonts w:hint="eastAsia"/>
          <w:color w:val="000000" w:themeColor="text1"/>
          <w:spacing w:val="4"/>
          <w:lang w:val="en-US" w:eastAsia="zh-CN"/>
          <w14:textFill>
            <w14:solidFill>
              <w14:schemeClr w14:val="tx1"/>
            </w14:solidFill>
          </w14:textFill>
        </w:rPr>
        <w:t>年</w:t>
      </w:r>
      <w:r>
        <w:rPr>
          <w:rFonts w:hint="eastAsia"/>
          <w:color w:val="000000" w:themeColor="text1"/>
          <w:spacing w:val="4"/>
          <w14:textFill>
            <w14:solidFill>
              <w14:schemeClr w14:val="tx1"/>
            </w14:solidFill>
          </w14:textFill>
        </w:rPr>
        <w:t>10</w:t>
      </w:r>
      <w:r>
        <w:rPr>
          <w:rFonts w:hint="eastAsia"/>
          <w:color w:val="000000" w:themeColor="text1"/>
          <w:spacing w:val="4"/>
          <w:lang w:val="en-US" w:eastAsia="zh-CN"/>
          <w14:textFill>
            <w14:solidFill>
              <w14:schemeClr w14:val="tx1"/>
            </w14:solidFill>
          </w14:textFill>
        </w:rPr>
        <w:t>月</w:t>
      </w:r>
      <w:r>
        <w:rPr>
          <w:rFonts w:hint="eastAsia"/>
          <w:color w:val="000000" w:themeColor="text1"/>
          <w:spacing w:val="4"/>
          <w14:textFill>
            <w14:solidFill>
              <w14:schemeClr w14:val="tx1"/>
            </w14:solidFill>
          </w14:textFill>
        </w:rPr>
        <w:t>；</w:t>
      </w:r>
    </w:p>
    <w:p>
      <w:pPr>
        <w:keepNext w:val="0"/>
        <w:keepLines w:val="0"/>
        <w:pageBreakBefore w:val="0"/>
        <w:widowControl w:val="0"/>
        <w:kinsoku/>
        <w:wordWrap/>
        <w:overflowPunct/>
        <w:topLinePunct w:val="0"/>
        <w:bidi w:val="0"/>
        <w:snapToGrid/>
        <w:ind w:left="0" w:leftChars="0" w:right="0" w:rightChars="0" w:firstLine="576" w:firstLineChars="200"/>
        <w:textAlignment w:val="auto"/>
        <w:outlineLvl w:val="9"/>
        <w:rPr>
          <w:rFonts w:hint="eastAsia"/>
          <w:color w:val="000000" w:themeColor="text1"/>
          <w:spacing w:val="4"/>
          <w14:textFill>
            <w14:solidFill>
              <w14:schemeClr w14:val="tx1"/>
            </w14:solidFill>
          </w14:textFill>
        </w:rPr>
      </w:pPr>
      <w:r>
        <w:rPr>
          <w:rFonts w:hint="eastAsia"/>
          <w:color w:val="000000" w:themeColor="text1"/>
          <w:spacing w:val="4"/>
          <w14:textFill>
            <w14:solidFill>
              <w14:schemeClr w14:val="tx1"/>
            </w14:solidFill>
          </w14:textFill>
        </w:rPr>
        <w:t>12、</w:t>
      </w:r>
      <w:r>
        <w:rPr>
          <w:rFonts w:hint="eastAsia"/>
          <w:color w:val="000000" w:themeColor="text1"/>
          <w:spacing w:val="4"/>
          <w:lang w:eastAsia="zh-CN"/>
          <w14:textFill>
            <w14:solidFill>
              <w14:schemeClr w14:val="tx1"/>
            </w14:solidFill>
          </w14:textFill>
        </w:rPr>
        <w:t>《</w:t>
      </w:r>
      <w:r>
        <w:rPr>
          <w:rFonts w:hint="eastAsia"/>
          <w:color w:val="000000" w:themeColor="text1"/>
          <w:spacing w:val="4"/>
          <w14:textFill>
            <w14:solidFill>
              <w14:schemeClr w14:val="tx1"/>
            </w14:solidFill>
          </w14:textFill>
        </w:rPr>
        <w:t>中国石油吐哈油田神泉污水处理系统扩建项目监测方案</w:t>
      </w:r>
      <w:r>
        <w:rPr>
          <w:rFonts w:hint="eastAsia"/>
          <w:color w:val="000000" w:themeColor="text1"/>
          <w:spacing w:val="4"/>
          <w:lang w:eastAsia="zh-CN"/>
          <w14:textFill>
            <w14:solidFill>
              <w14:schemeClr w14:val="tx1"/>
            </w14:solidFill>
          </w14:textFill>
        </w:rPr>
        <w:t>》，</w:t>
      </w:r>
      <w:r>
        <w:rPr>
          <w:rFonts w:hint="eastAsia"/>
          <w:color w:val="000000" w:themeColor="text1"/>
          <w:spacing w:val="4"/>
          <w:lang w:val="en-US" w:eastAsia="zh-CN"/>
          <w14:textFill>
            <w14:solidFill>
              <w14:schemeClr w14:val="tx1"/>
            </w14:solidFill>
          </w14:textFill>
        </w:rPr>
        <w:t>新疆水清清环境监测技术服务有限公司，2017年9月、2022年5月</w:t>
      </w:r>
      <w:r>
        <w:rPr>
          <w:rFonts w:hint="eastAsia"/>
          <w:color w:val="000000" w:themeColor="text1"/>
          <w:spacing w:val="4"/>
          <w14:textFill>
            <w14:solidFill>
              <w14:schemeClr w14:val="tx1"/>
            </w14:solidFill>
          </w14:textFill>
        </w:rPr>
        <w:t>。</w:t>
      </w:r>
    </w:p>
    <w:p>
      <w:pPr>
        <w:ind w:firstLine="592"/>
        <w:rPr>
          <w:szCs w:val="32"/>
        </w:rPr>
      </w:pPr>
      <w:r>
        <w:rPr>
          <w:szCs w:val="32"/>
        </w:rPr>
        <w:br w:type="page"/>
      </w:r>
    </w:p>
    <w:p>
      <w:pPr>
        <w:pStyle w:val="2"/>
        <w:spacing w:line="600" w:lineRule="auto"/>
        <w:rPr>
          <w:szCs w:val="32"/>
        </w:rPr>
      </w:pPr>
      <w:bookmarkStart w:id="48" w:name="_Toc12934"/>
      <w:r>
        <w:rPr>
          <w:szCs w:val="32"/>
        </w:rPr>
        <w:t>三、</w:t>
      </w:r>
      <w:r>
        <w:rPr>
          <w:rFonts w:hint="eastAsia"/>
          <w:szCs w:val="32"/>
        </w:rPr>
        <w:t>建设项目</w:t>
      </w:r>
      <w:r>
        <w:rPr>
          <w:szCs w:val="32"/>
        </w:rPr>
        <w:t>工程概况</w:t>
      </w:r>
      <w:bookmarkEnd w:id="39"/>
      <w:bookmarkEnd w:id="40"/>
      <w:bookmarkEnd w:id="41"/>
      <w:bookmarkEnd w:id="42"/>
      <w:bookmarkEnd w:id="43"/>
      <w:bookmarkEnd w:id="44"/>
      <w:bookmarkEnd w:id="45"/>
      <w:bookmarkEnd w:id="46"/>
      <w:bookmarkEnd w:id="47"/>
      <w:bookmarkEnd w:id="48"/>
      <w:bookmarkStart w:id="49" w:name="_Toc153216316"/>
      <w:bookmarkStart w:id="50" w:name="_Toc277666205"/>
      <w:bookmarkStart w:id="51" w:name="_Toc212304313"/>
      <w:bookmarkStart w:id="52" w:name="_Toc346635699"/>
      <w:bookmarkStart w:id="53" w:name="_Toc153338177"/>
      <w:bookmarkStart w:id="54" w:name="_Toc212303506"/>
    </w:p>
    <w:bookmarkEnd w:id="49"/>
    <w:bookmarkEnd w:id="50"/>
    <w:bookmarkEnd w:id="51"/>
    <w:bookmarkEnd w:id="52"/>
    <w:bookmarkEnd w:id="53"/>
    <w:bookmarkEnd w:id="54"/>
    <w:p>
      <w:pPr>
        <w:spacing w:line="600" w:lineRule="auto"/>
        <w:outlineLvl w:val="1"/>
        <w:rPr>
          <w:b/>
          <w:bCs/>
          <w:sz w:val="32"/>
          <w:szCs w:val="32"/>
        </w:rPr>
      </w:pPr>
      <w:bookmarkStart w:id="55" w:name="_Toc5726"/>
      <w:bookmarkStart w:id="56" w:name="_Toc27130"/>
      <w:r>
        <w:rPr>
          <w:b/>
          <w:bCs/>
          <w:sz w:val="32"/>
          <w:szCs w:val="32"/>
        </w:rPr>
        <w:t>3.1地理位置及</w:t>
      </w:r>
      <w:bookmarkEnd w:id="55"/>
      <w:r>
        <w:rPr>
          <w:rFonts w:hint="eastAsia"/>
          <w:b/>
          <w:bCs/>
          <w:sz w:val="32"/>
          <w:szCs w:val="32"/>
        </w:rPr>
        <w:t>厂址概况</w:t>
      </w:r>
      <w:bookmarkEnd w:id="56"/>
    </w:p>
    <w:p>
      <w:pPr>
        <w:ind w:firstLine="560" w:firstLineChars="200"/>
        <w:rPr>
          <w:color w:val="000000"/>
        </w:rPr>
      </w:pPr>
      <w:r>
        <w:rPr>
          <w:rFonts w:hint="eastAsia"/>
          <w:color w:val="000000"/>
        </w:rPr>
        <w:t>本项目位于</w:t>
      </w:r>
      <w:r>
        <w:rPr>
          <w:rFonts w:hint="eastAsia"/>
          <w:color w:val="000000"/>
          <w:lang w:eastAsia="zh-CN"/>
        </w:rPr>
        <w:t>吐鲁番采油管理区</w:t>
      </w:r>
      <w:r>
        <w:rPr>
          <w:rFonts w:hint="eastAsia"/>
          <w:color w:val="000000"/>
        </w:rPr>
        <w:t>神泉集中处理站内，该站位于吐鲁番市以东10km处。本项目区西、南两面紧挨神泉集中处理站，北、东侧现均为空地，距离项目区东南面210m处为采油厂内干化池。本项目中心坐标为，东经：</w:t>
      </w:r>
      <w:r>
        <w:rPr>
          <w:color w:val="000000"/>
        </w:rPr>
        <w:t>89°18′39.75″</w:t>
      </w:r>
      <w:r>
        <w:rPr>
          <w:rFonts w:hint="eastAsia"/>
          <w:color w:val="000000"/>
        </w:rPr>
        <w:t>，北纬：</w:t>
      </w:r>
      <w:r>
        <w:rPr>
          <w:color w:val="000000"/>
        </w:rPr>
        <w:t>42°56′45.41″</w:t>
      </w:r>
      <w:r>
        <w:rPr>
          <w:rFonts w:hint="eastAsia"/>
          <w:color w:val="000000"/>
        </w:rPr>
        <w:t>。</w:t>
      </w:r>
    </w:p>
    <w:p>
      <w:pPr>
        <w:ind w:firstLine="560" w:firstLineChars="200"/>
        <w:rPr>
          <w:color w:val="000000"/>
        </w:rPr>
      </w:pPr>
      <w:r>
        <w:rPr>
          <w:rFonts w:hint="eastAsia"/>
          <w:color w:val="000000"/>
          <w:lang w:val="zh-CN"/>
        </w:rPr>
        <w:t>地理位置图见图</w:t>
      </w:r>
      <w:r>
        <w:rPr>
          <w:rFonts w:hint="eastAsia"/>
          <w:color w:val="000000"/>
        </w:rPr>
        <w:t>3-</w:t>
      </w:r>
      <w:r>
        <w:rPr>
          <w:rFonts w:hint="eastAsia"/>
          <w:color w:val="000000"/>
          <w:lang w:val="zh-CN"/>
        </w:rPr>
        <w:t>1</w:t>
      </w:r>
      <w:r>
        <w:rPr>
          <w:rFonts w:hint="eastAsia"/>
          <w:color w:val="000000"/>
        </w:rPr>
        <w:t>。</w:t>
      </w:r>
    </w:p>
    <w:p>
      <w:pPr>
        <w:pStyle w:val="3"/>
        <w:spacing w:line="600" w:lineRule="auto"/>
        <w:rPr>
          <w:sz w:val="32"/>
        </w:rPr>
      </w:pPr>
      <w:bookmarkStart w:id="57" w:name="_Toc346635700"/>
      <w:bookmarkStart w:id="58" w:name="_Toc28056"/>
      <w:bookmarkStart w:id="59" w:name="_Toc19826"/>
      <w:bookmarkStart w:id="60" w:name="_Toc6181"/>
      <w:bookmarkStart w:id="61" w:name="_Toc277666206"/>
      <w:bookmarkStart w:id="62" w:name="_Toc4555"/>
      <w:bookmarkStart w:id="63" w:name="_Toc27835"/>
      <w:r>
        <w:rPr>
          <w:rFonts w:hint="eastAsia"/>
          <w:sz w:val="32"/>
        </w:rPr>
        <w:t>3.2</w:t>
      </w:r>
      <w:r>
        <w:rPr>
          <w:sz w:val="32"/>
        </w:rPr>
        <w:t>项目建设内容</w:t>
      </w:r>
      <w:bookmarkEnd w:id="57"/>
      <w:bookmarkEnd w:id="58"/>
      <w:bookmarkEnd w:id="59"/>
      <w:bookmarkEnd w:id="60"/>
      <w:bookmarkEnd w:id="61"/>
      <w:bookmarkEnd w:id="62"/>
      <w:bookmarkEnd w:id="63"/>
    </w:p>
    <w:p>
      <w:pPr>
        <w:outlineLvl w:val="2"/>
        <w:rPr>
          <w:b/>
          <w:bCs/>
          <w:color w:val="000000"/>
          <w:szCs w:val="28"/>
        </w:rPr>
      </w:pPr>
      <w:bookmarkStart w:id="64" w:name="_Toc11199"/>
      <w:bookmarkStart w:id="65" w:name="_Toc30356"/>
      <w:r>
        <w:rPr>
          <w:b/>
          <w:bCs/>
          <w:szCs w:val="28"/>
        </w:rPr>
        <w:t>3.</w:t>
      </w:r>
      <w:r>
        <w:rPr>
          <w:rFonts w:hint="eastAsia"/>
          <w:b/>
          <w:bCs/>
          <w:szCs w:val="28"/>
        </w:rPr>
        <w:t>2</w:t>
      </w:r>
      <w:r>
        <w:rPr>
          <w:b/>
          <w:bCs/>
          <w:szCs w:val="28"/>
        </w:rPr>
        <w:t>.</w:t>
      </w:r>
      <w:r>
        <w:rPr>
          <w:rFonts w:hint="eastAsia"/>
          <w:b/>
          <w:bCs/>
          <w:szCs w:val="28"/>
        </w:rPr>
        <w:t>1</w:t>
      </w:r>
      <w:r>
        <w:rPr>
          <w:b/>
          <w:bCs/>
          <w:color w:val="000000"/>
          <w:szCs w:val="28"/>
        </w:rPr>
        <w:t>规模及实际运营情况</w:t>
      </w:r>
      <w:bookmarkEnd w:id="64"/>
      <w:bookmarkEnd w:id="65"/>
    </w:p>
    <w:p>
      <w:pPr>
        <w:ind w:firstLine="560" w:firstLineChars="200"/>
        <w:rPr>
          <w:color w:val="000000"/>
        </w:rPr>
      </w:pPr>
      <w:r>
        <w:rPr>
          <w:rFonts w:hint="eastAsia"/>
          <w:color w:val="000000"/>
        </w:rPr>
        <w:t>原吐哈油田</w:t>
      </w:r>
      <w:r>
        <w:rPr>
          <w:rFonts w:hint="eastAsia"/>
          <w:color w:val="000000"/>
          <w:lang w:eastAsia="zh-CN"/>
        </w:rPr>
        <w:t>吐鲁番采油管理区</w:t>
      </w:r>
      <w:r>
        <w:rPr>
          <w:rFonts w:hint="eastAsia"/>
          <w:color w:val="000000"/>
        </w:rPr>
        <w:t>神泉污水处理站污水处理规模为1500m</w:t>
      </w:r>
      <w:r>
        <w:rPr>
          <w:rFonts w:hint="eastAsia"/>
          <w:color w:val="000000"/>
          <w:vertAlign w:val="superscript"/>
        </w:rPr>
        <w:t>3</w:t>
      </w:r>
      <w:r>
        <w:rPr>
          <w:rFonts w:hint="eastAsia"/>
          <w:color w:val="000000"/>
        </w:rPr>
        <w:t>/d，本次采用“微生物除油+过滤主体处理工艺”对原污水站进行改扩建，</w:t>
      </w:r>
      <w:r>
        <w:rPr>
          <w:rFonts w:hint="eastAsia"/>
        </w:rPr>
        <w:t>改扩建后，</w:t>
      </w:r>
      <w:r>
        <w:rPr>
          <w:rFonts w:hint="eastAsia"/>
          <w:lang w:val="en-US" w:eastAsia="zh-CN"/>
        </w:rPr>
        <w:t>污水处理站废水</w:t>
      </w:r>
      <w:r>
        <w:rPr>
          <w:rFonts w:hint="eastAsia"/>
        </w:rPr>
        <w:t>处理</w:t>
      </w:r>
      <w:r>
        <w:rPr>
          <w:rFonts w:hint="eastAsia"/>
          <w:lang w:val="en-US" w:eastAsia="zh-CN"/>
        </w:rPr>
        <w:t>能力为</w:t>
      </w:r>
      <w:r>
        <w:rPr>
          <w:rFonts w:hint="eastAsia"/>
        </w:rPr>
        <w:t>3</w:t>
      </w:r>
      <w:r>
        <w:rPr>
          <w:rFonts w:hint="eastAsia"/>
          <w:lang w:val="en-US" w:eastAsia="zh-CN"/>
        </w:rPr>
        <w:t>0</w:t>
      </w:r>
      <w:r>
        <w:rPr>
          <w:rFonts w:hint="eastAsia"/>
        </w:rPr>
        <w:t>00m</w:t>
      </w:r>
      <w:r>
        <w:rPr>
          <w:rFonts w:hint="eastAsia"/>
          <w:vertAlign w:val="superscript"/>
        </w:rPr>
        <w:t>3</w:t>
      </w:r>
      <w:r>
        <w:rPr>
          <w:rFonts w:hint="eastAsia"/>
        </w:rPr>
        <w:t>/d。</w:t>
      </w:r>
    </w:p>
    <w:p>
      <w:pPr>
        <w:ind w:firstLine="560" w:firstLineChars="200"/>
        <w:rPr>
          <w:color w:val="000000"/>
        </w:rPr>
      </w:pPr>
      <w:r>
        <w:rPr>
          <w:rFonts w:hint="eastAsia"/>
          <w:color w:val="000000"/>
        </w:rPr>
        <w:t>改扩建项目主</w:t>
      </w:r>
      <w:r>
        <w:rPr>
          <w:rFonts w:hint="eastAsia"/>
        </w:rPr>
        <w:t>要包括：</w:t>
      </w:r>
      <w:r>
        <w:rPr>
          <w:rFonts w:hint="eastAsia"/>
          <w:szCs w:val="28"/>
        </w:rPr>
        <w:t>隔油池1座，有效容积260m</w:t>
      </w:r>
      <w:r>
        <w:rPr>
          <w:rFonts w:hint="eastAsia"/>
          <w:szCs w:val="28"/>
          <w:vertAlign w:val="superscript"/>
        </w:rPr>
        <w:t>3</w:t>
      </w:r>
      <w:r>
        <w:rPr>
          <w:rFonts w:hint="eastAsia"/>
          <w:szCs w:val="28"/>
        </w:rPr>
        <w:t>；调节池1座，有效容积750m</w:t>
      </w:r>
      <w:r>
        <w:rPr>
          <w:rFonts w:hint="eastAsia"/>
          <w:szCs w:val="28"/>
          <w:vertAlign w:val="superscript"/>
        </w:rPr>
        <w:t>3</w:t>
      </w:r>
      <w:r>
        <w:rPr>
          <w:rFonts w:hint="eastAsia"/>
          <w:szCs w:val="28"/>
        </w:rPr>
        <w:t>；生化反应池6座，每座有效容积为250m</w:t>
      </w:r>
      <w:r>
        <w:rPr>
          <w:rFonts w:hint="eastAsia"/>
          <w:szCs w:val="28"/>
          <w:vertAlign w:val="superscript"/>
        </w:rPr>
        <w:t>3</w:t>
      </w:r>
      <w:r>
        <w:rPr>
          <w:rFonts w:hint="eastAsia"/>
          <w:szCs w:val="28"/>
        </w:rPr>
        <w:t>；沉淀池2座，每座有效容积为375m</w:t>
      </w:r>
      <w:r>
        <w:rPr>
          <w:rFonts w:hint="eastAsia"/>
          <w:szCs w:val="28"/>
          <w:vertAlign w:val="superscript"/>
        </w:rPr>
        <w:t>3</w:t>
      </w:r>
      <w:r>
        <w:rPr>
          <w:rFonts w:hint="eastAsia"/>
          <w:szCs w:val="28"/>
        </w:rPr>
        <w:t>；有效容积250m</w:t>
      </w:r>
      <w:r>
        <w:rPr>
          <w:rFonts w:hint="eastAsia"/>
          <w:szCs w:val="28"/>
          <w:vertAlign w:val="superscript"/>
        </w:rPr>
        <w:t>3</w:t>
      </w:r>
      <w:r>
        <w:rPr>
          <w:rFonts w:hint="eastAsia"/>
          <w:szCs w:val="28"/>
        </w:rPr>
        <w:t>缓冲水池1座等配套设施。</w:t>
      </w:r>
    </w:p>
    <w:p>
      <w:pPr>
        <w:ind w:firstLine="592" w:firstLineChars="200"/>
        <w:rPr>
          <w:spacing w:val="8"/>
        </w:rPr>
      </w:pPr>
      <w:r>
        <w:rPr>
          <w:spacing w:val="8"/>
        </w:rPr>
        <w:t>平面布置图见图3-2。</w:t>
      </w:r>
    </w:p>
    <w:p>
      <w:pPr>
        <w:pStyle w:val="18"/>
        <w:ind w:firstLine="592" w:firstLineChars="200"/>
        <w:rPr>
          <w:spacing w:val="8"/>
          <w:sz w:val="28"/>
        </w:rPr>
      </w:pPr>
      <w:r>
        <w:rPr>
          <w:spacing w:val="8"/>
          <w:sz w:val="28"/>
        </w:rPr>
        <w:t>本项目主要</w:t>
      </w:r>
      <w:r>
        <w:rPr>
          <w:rFonts w:hint="eastAsia"/>
          <w:spacing w:val="8"/>
          <w:sz w:val="28"/>
        </w:rPr>
        <w:t>技改</w:t>
      </w:r>
      <w:r>
        <w:rPr>
          <w:spacing w:val="8"/>
          <w:sz w:val="28"/>
        </w:rPr>
        <w:t>设备及参数详见表3-</w:t>
      </w:r>
      <w:r>
        <w:rPr>
          <w:rFonts w:hint="eastAsia"/>
          <w:spacing w:val="8"/>
          <w:sz w:val="28"/>
        </w:rPr>
        <w:t>1</w:t>
      </w:r>
      <w:r>
        <w:rPr>
          <w:spacing w:val="8"/>
          <w:sz w:val="28"/>
        </w:rPr>
        <w:t>。</w:t>
      </w:r>
    </w:p>
    <w:p>
      <w:pPr>
        <w:pStyle w:val="18"/>
        <w:ind w:firstLine="480"/>
        <w:rPr>
          <w:rFonts w:hint="eastAsia"/>
          <w:b/>
          <w:bCs/>
          <w:color w:val="000000"/>
        </w:rPr>
      </w:pPr>
      <w:r>
        <w:rPr>
          <w:rFonts w:hint="eastAsia"/>
          <w:b/>
          <w:bCs/>
          <w:color w:val="000000"/>
        </w:rPr>
        <w:br w:type="page"/>
      </w:r>
    </w:p>
    <w:p>
      <w:pPr>
        <w:pStyle w:val="18"/>
        <w:ind w:firstLine="480"/>
        <w:rPr>
          <w:b/>
          <w:bCs/>
          <w:color w:val="000000"/>
        </w:rPr>
      </w:pPr>
      <w:r>
        <w:rPr>
          <w:rFonts w:hint="eastAsia"/>
          <w:b/>
          <w:bCs/>
          <w:color w:val="000000"/>
        </w:rPr>
        <w:t>表</w:t>
      </w:r>
      <w:r>
        <w:rPr>
          <w:b/>
          <w:bCs/>
          <w:color w:val="000000"/>
        </w:rPr>
        <w:t>3-</w:t>
      </w:r>
      <w:r>
        <w:rPr>
          <w:rFonts w:hint="eastAsia"/>
          <w:b/>
          <w:bCs/>
          <w:color w:val="000000"/>
        </w:rPr>
        <w:t>1</w:t>
      </w:r>
      <w:r>
        <w:rPr>
          <w:rFonts w:hint="eastAsia"/>
          <w:b/>
          <w:bCs/>
          <w:color w:val="000000"/>
          <w:lang w:val="en-US" w:eastAsia="zh-CN"/>
        </w:rPr>
        <w:t xml:space="preserve">                     </w:t>
      </w:r>
      <w:r>
        <w:rPr>
          <w:rFonts w:hint="eastAsia"/>
          <w:b/>
          <w:bCs/>
          <w:color w:val="000000"/>
        </w:rPr>
        <w:t>技改主要内容</w:t>
      </w:r>
    </w:p>
    <w:tbl>
      <w:tblPr>
        <w:tblStyle w:val="41"/>
        <w:tblW w:w="917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628"/>
        <w:gridCol w:w="4622"/>
        <w:gridCol w:w="1225"/>
        <w:gridCol w:w="8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pPr>
              <w:spacing w:line="240" w:lineRule="auto"/>
              <w:jc w:val="center"/>
              <w:rPr>
                <w:sz w:val="24"/>
                <w:szCs w:val="21"/>
              </w:rPr>
            </w:pPr>
            <w:r>
              <w:rPr>
                <w:rFonts w:hint="eastAsia"/>
                <w:sz w:val="24"/>
                <w:szCs w:val="21"/>
              </w:rPr>
              <w:t>序号</w:t>
            </w:r>
          </w:p>
        </w:tc>
        <w:tc>
          <w:tcPr>
            <w:tcW w:w="1628" w:type="dxa"/>
            <w:vAlign w:val="center"/>
          </w:tcPr>
          <w:p>
            <w:pPr>
              <w:spacing w:line="240" w:lineRule="auto"/>
              <w:jc w:val="center"/>
              <w:rPr>
                <w:sz w:val="24"/>
                <w:szCs w:val="21"/>
              </w:rPr>
            </w:pPr>
            <w:r>
              <w:rPr>
                <w:rFonts w:hint="eastAsia"/>
                <w:sz w:val="24"/>
                <w:szCs w:val="21"/>
              </w:rPr>
              <w:t>名称</w:t>
            </w:r>
          </w:p>
        </w:tc>
        <w:tc>
          <w:tcPr>
            <w:tcW w:w="4622" w:type="dxa"/>
            <w:vAlign w:val="center"/>
          </w:tcPr>
          <w:p>
            <w:pPr>
              <w:spacing w:line="240" w:lineRule="auto"/>
              <w:jc w:val="center"/>
              <w:rPr>
                <w:sz w:val="24"/>
                <w:szCs w:val="21"/>
              </w:rPr>
            </w:pPr>
            <w:r>
              <w:rPr>
                <w:sz w:val="24"/>
                <w:szCs w:val="21"/>
              </w:rPr>
              <w:t>建设规模</w:t>
            </w:r>
          </w:p>
        </w:tc>
        <w:tc>
          <w:tcPr>
            <w:tcW w:w="1225" w:type="dxa"/>
            <w:vAlign w:val="center"/>
          </w:tcPr>
          <w:p>
            <w:pPr>
              <w:spacing w:line="240" w:lineRule="auto"/>
              <w:jc w:val="center"/>
              <w:rPr>
                <w:sz w:val="24"/>
                <w:szCs w:val="21"/>
              </w:rPr>
            </w:pPr>
            <w:r>
              <w:rPr>
                <w:rFonts w:hint="eastAsia"/>
                <w:sz w:val="24"/>
                <w:szCs w:val="21"/>
              </w:rPr>
              <w:t>数量</w:t>
            </w:r>
          </w:p>
        </w:tc>
        <w:tc>
          <w:tcPr>
            <w:tcW w:w="848" w:type="dxa"/>
            <w:vAlign w:val="center"/>
          </w:tcPr>
          <w:p>
            <w:pPr>
              <w:spacing w:line="240" w:lineRule="auto"/>
              <w:jc w:val="center"/>
              <w:rPr>
                <w:sz w:val="24"/>
                <w:szCs w:val="21"/>
              </w:rPr>
            </w:pPr>
            <w:r>
              <w:rPr>
                <w:rFonts w:hint="eastAsia"/>
                <w:sz w:val="24"/>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pPr>
              <w:spacing w:line="240" w:lineRule="auto"/>
              <w:jc w:val="center"/>
              <w:rPr>
                <w:sz w:val="24"/>
                <w:szCs w:val="21"/>
              </w:rPr>
            </w:pPr>
            <w:r>
              <w:rPr>
                <w:rFonts w:hint="eastAsia"/>
                <w:sz w:val="24"/>
                <w:szCs w:val="21"/>
              </w:rPr>
              <w:t>1</w:t>
            </w:r>
          </w:p>
        </w:tc>
        <w:tc>
          <w:tcPr>
            <w:tcW w:w="1628" w:type="dxa"/>
            <w:vAlign w:val="center"/>
          </w:tcPr>
          <w:p>
            <w:pPr>
              <w:adjustRightInd w:val="0"/>
              <w:snapToGrid w:val="0"/>
              <w:spacing w:line="240" w:lineRule="auto"/>
              <w:jc w:val="center"/>
              <w:rPr>
                <w:sz w:val="24"/>
                <w:szCs w:val="21"/>
              </w:rPr>
            </w:pPr>
            <w:r>
              <w:rPr>
                <w:sz w:val="24"/>
                <w:szCs w:val="21"/>
              </w:rPr>
              <w:t>除油罐</w:t>
            </w:r>
          </w:p>
        </w:tc>
        <w:tc>
          <w:tcPr>
            <w:tcW w:w="4622" w:type="dxa"/>
            <w:vAlign w:val="center"/>
          </w:tcPr>
          <w:p>
            <w:pPr>
              <w:adjustRightInd w:val="0"/>
              <w:snapToGrid w:val="0"/>
              <w:spacing w:line="240" w:lineRule="auto"/>
              <w:jc w:val="center"/>
              <w:rPr>
                <w:sz w:val="24"/>
                <w:szCs w:val="21"/>
              </w:rPr>
            </w:pPr>
            <w:r>
              <w:rPr>
                <w:rFonts w:hint="eastAsia"/>
                <w:sz w:val="24"/>
                <w:szCs w:val="21"/>
              </w:rPr>
              <w:t>V=500m</w:t>
            </w:r>
            <w:r>
              <w:rPr>
                <w:rFonts w:hint="eastAsia"/>
                <w:sz w:val="24"/>
                <w:szCs w:val="21"/>
                <w:vertAlign w:val="superscript"/>
              </w:rPr>
              <w:t>3</w:t>
            </w:r>
          </w:p>
        </w:tc>
        <w:tc>
          <w:tcPr>
            <w:tcW w:w="1225" w:type="dxa"/>
            <w:vAlign w:val="center"/>
          </w:tcPr>
          <w:p>
            <w:pPr>
              <w:adjustRightInd w:val="0"/>
              <w:snapToGrid w:val="0"/>
              <w:spacing w:line="240" w:lineRule="auto"/>
              <w:jc w:val="center"/>
              <w:rPr>
                <w:sz w:val="24"/>
                <w:szCs w:val="21"/>
              </w:rPr>
            </w:pPr>
            <w:r>
              <w:rPr>
                <w:rFonts w:hint="eastAsia"/>
                <w:sz w:val="24"/>
                <w:szCs w:val="21"/>
              </w:rPr>
              <w:t>2座</w:t>
            </w:r>
          </w:p>
        </w:tc>
        <w:tc>
          <w:tcPr>
            <w:tcW w:w="848" w:type="dxa"/>
            <w:vAlign w:val="center"/>
          </w:tcPr>
          <w:p>
            <w:pPr>
              <w:adjustRightInd w:val="0"/>
              <w:snapToGrid w:val="0"/>
              <w:spacing w:line="240" w:lineRule="auto"/>
              <w:jc w:val="center"/>
              <w:rPr>
                <w:sz w:val="24"/>
                <w:szCs w:val="21"/>
              </w:rPr>
            </w:pPr>
            <w:r>
              <w:rPr>
                <w:rFonts w:hint="eastAsia"/>
                <w:sz w:val="24"/>
                <w:szCs w:val="21"/>
              </w:rPr>
              <w:t>利旧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pPr>
              <w:spacing w:line="240" w:lineRule="auto"/>
              <w:jc w:val="center"/>
              <w:rPr>
                <w:sz w:val="24"/>
                <w:szCs w:val="21"/>
              </w:rPr>
            </w:pPr>
            <w:r>
              <w:rPr>
                <w:rFonts w:hint="eastAsia"/>
                <w:sz w:val="24"/>
                <w:szCs w:val="21"/>
              </w:rPr>
              <w:t>2</w:t>
            </w:r>
          </w:p>
        </w:tc>
        <w:tc>
          <w:tcPr>
            <w:tcW w:w="1628" w:type="dxa"/>
            <w:vAlign w:val="center"/>
          </w:tcPr>
          <w:p>
            <w:pPr>
              <w:adjustRightInd w:val="0"/>
              <w:snapToGrid w:val="0"/>
              <w:spacing w:line="240" w:lineRule="auto"/>
              <w:jc w:val="center"/>
              <w:rPr>
                <w:sz w:val="24"/>
                <w:szCs w:val="21"/>
              </w:rPr>
            </w:pPr>
            <w:r>
              <w:rPr>
                <w:sz w:val="24"/>
                <w:szCs w:val="21"/>
              </w:rPr>
              <w:t>隔油池</w:t>
            </w:r>
          </w:p>
        </w:tc>
        <w:tc>
          <w:tcPr>
            <w:tcW w:w="4622" w:type="dxa"/>
            <w:vAlign w:val="center"/>
          </w:tcPr>
          <w:p>
            <w:pPr>
              <w:adjustRightInd w:val="0"/>
              <w:snapToGrid w:val="0"/>
              <w:spacing w:line="240" w:lineRule="auto"/>
              <w:jc w:val="center"/>
              <w:rPr>
                <w:sz w:val="24"/>
                <w:szCs w:val="21"/>
              </w:rPr>
            </w:pPr>
            <w:r>
              <w:rPr>
                <w:rFonts w:hint="eastAsia"/>
                <w:sz w:val="24"/>
                <w:szCs w:val="21"/>
              </w:rPr>
              <w:t>尺寸：16m×4.4m×5.5m，V</w:t>
            </w:r>
            <w:r>
              <w:rPr>
                <w:rFonts w:hint="eastAsia"/>
                <w:sz w:val="24"/>
                <w:szCs w:val="21"/>
                <w:vertAlign w:val="subscript"/>
              </w:rPr>
              <w:t>有效</w:t>
            </w:r>
            <w:r>
              <w:rPr>
                <w:rFonts w:hint="eastAsia"/>
                <w:sz w:val="24"/>
                <w:szCs w:val="21"/>
              </w:rPr>
              <w:t>=260m</w:t>
            </w:r>
            <w:r>
              <w:rPr>
                <w:rFonts w:hint="eastAsia"/>
                <w:sz w:val="24"/>
                <w:szCs w:val="21"/>
                <w:vertAlign w:val="superscript"/>
              </w:rPr>
              <w:t>3</w:t>
            </w:r>
          </w:p>
        </w:tc>
        <w:tc>
          <w:tcPr>
            <w:tcW w:w="1225" w:type="dxa"/>
            <w:vAlign w:val="center"/>
          </w:tcPr>
          <w:p>
            <w:pPr>
              <w:adjustRightInd w:val="0"/>
              <w:snapToGrid w:val="0"/>
              <w:spacing w:line="240" w:lineRule="auto"/>
              <w:jc w:val="center"/>
              <w:rPr>
                <w:sz w:val="24"/>
                <w:szCs w:val="21"/>
              </w:rPr>
            </w:pPr>
            <w:r>
              <w:rPr>
                <w:rFonts w:hint="eastAsia"/>
                <w:sz w:val="24"/>
                <w:szCs w:val="21"/>
              </w:rPr>
              <w:t>1座</w:t>
            </w:r>
          </w:p>
        </w:tc>
        <w:tc>
          <w:tcPr>
            <w:tcW w:w="848" w:type="dxa"/>
            <w:vAlign w:val="center"/>
          </w:tcPr>
          <w:p>
            <w:pPr>
              <w:adjustRightInd w:val="0"/>
              <w:snapToGrid w:val="0"/>
              <w:spacing w:line="240" w:lineRule="auto"/>
              <w:jc w:val="center"/>
              <w:rPr>
                <w:sz w:val="24"/>
                <w:szCs w:val="21"/>
              </w:rPr>
            </w:pPr>
            <w:r>
              <w:rPr>
                <w:sz w:val="24"/>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pPr>
              <w:spacing w:line="240" w:lineRule="auto"/>
              <w:jc w:val="center"/>
              <w:rPr>
                <w:sz w:val="24"/>
                <w:szCs w:val="21"/>
              </w:rPr>
            </w:pPr>
            <w:r>
              <w:rPr>
                <w:rFonts w:hint="eastAsia"/>
                <w:sz w:val="24"/>
                <w:szCs w:val="21"/>
              </w:rPr>
              <w:t>3</w:t>
            </w:r>
          </w:p>
        </w:tc>
        <w:tc>
          <w:tcPr>
            <w:tcW w:w="1628" w:type="dxa"/>
            <w:vAlign w:val="center"/>
          </w:tcPr>
          <w:p>
            <w:pPr>
              <w:adjustRightInd w:val="0"/>
              <w:snapToGrid w:val="0"/>
              <w:spacing w:line="240" w:lineRule="auto"/>
              <w:jc w:val="center"/>
              <w:rPr>
                <w:sz w:val="24"/>
                <w:szCs w:val="21"/>
              </w:rPr>
            </w:pPr>
            <w:r>
              <w:rPr>
                <w:sz w:val="24"/>
                <w:szCs w:val="21"/>
              </w:rPr>
              <w:t>调节池</w:t>
            </w:r>
          </w:p>
        </w:tc>
        <w:tc>
          <w:tcPr>
            <w:tcW w:w="4622" w:type="dxa"/>
            <w:vAlign w:val="center"/>
          </w:tcPr>
          <w:p>
            <w:pPr>
              <w:adjustRightInd w:val="0"/>
              <w:snapToGrid w:val="0"/>
              <w:spacing w:line="240" w:lineRule="auto"/>
              <w:jc w:val="center"/>
              <w:rPr>
                <w:sz w:val="24"/>
                <w:szCs w:val="21"/>
              </w:rPr>
            </w:pPr>
            <w:r>
              <w:rPr>
                <w:rFonts w:hint="eastAsia"/>
                <w:sz w:val="24"/>
                <w:szCs w:val="21"/>
              </w:rPr>
              <w:t>尺寸：24m×7.0m×5.5m，V</w:t>
            </w:r>
            <w:r>
              <w:rPr>
                <w:rFonts w:hint="eastAsia"/>
                <w:sz w:val="24"/>
                <w:szCs w:val="21"/>
                <w:vertAlign w:val="subscript"/>
              </w:rPr>
              <w:t>有效</w:t>
            </w:r>
            <w:r>
              <w:rPr>
                <w:rFonts w:hint="eastAsia"/>
                <w:sz w:val="24"/>
                <w:szCs w:val="21"/>
              </w:rPr>
              <w:t>=750m</w:t>
            </w:r>
            <w:r>
              <w:rPr>
                <w:rFonts w:hint="eastAsia"/>
                <w:sz w:val="24"/>
                <w:szCs w:val="21"/>
                <w:vertAlign w:val="superscript"/>
              </w:rPr>
              <w:t>3</w:t>
            </w:r>
          </w:p>
        </w:tc>
        <w:tc>
          <w:tcPr>
            <w:tcW w:w="1225" w:type="dxa"/>
            <w:vAlign w:val="center"/>
          </w:tcPr>
          <w:p>
            <w:pPr>
              <w:adjustRightInd w:val="0"/>
              <w:snapToGrid w:val="0"/>
              <w:spacing w:line="240" w:lineRule="auto"/>
              <w:jc w:val="center"/>
              <w:rPr>
                <w:sz w:val="24"/>
                <w:szCs w:val="21"/>
              </w:rPr>
            </w:pPr>
            <w:r>
              <w:rPr>
                <w:rFonts w:hint="eastAsia"/>
                <w:sz w:val="24"/>
                <w:szCs w:val="21"/>
              </w:rPr>
              <w:t>1座</w:t>
            </w:r>
          </w:p>
        </w:tc>
        <w:tc>
          <w:tcPr>
            <w:tcW w:w="848" w:type="dxa"/>
            <w:vAlign w:val="center"/>
          </w:tcPr>
          <w:p>
            <w:pPr>
              <w:adjustRightInd w:val="0"/>
              <w:snapToGrid w:val="0"/>
              <w:spacing w:line="240" w:lineRule="auto"/>
              <w:jc w:val="center"/>
              <w:rPr>
                <w:sz w:val="24"/>
                <w:szCs w:val="21"/>
              </w:rPr>
            </w:pPr>
            <w:r>
              <w:rPr>
                <w:rFonts w:hint="eastAsia"/>
                <w:sz w:val="24"/>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pPr>
              <w:spacing w:line="240" w:lineRule="auto"/>
              <w:jc w:val="center"/>
              <w:rPr>
                <w:sz w:val="24"/>
                <w:szCs w:val="21"/>
              </w:rPr>
            </w:pPr>
            <w:r>
              <w:rPr>
                <w:rFonts w:hint="eastAsia"/>
                <w:sz w:val="24"/>
                <w:szCs w:val="21"/>
              </w:rPr>
              <w:t>4</w:t>
            </w:r>
          </w:p>
        </w:tc>
        <w:tc>
          <w:tcPr>
            <w:tcW w:w="1628" w:type="dxa"/>
            <w:vAlign w:val="center"/>
          </w:tcPr>
          <w:p>
            <w:pPr>
              <w:adjustRightInd w:val="0"/>
              <w:snapToGrid w:val="0"/>
              <w:spacing w:line="240" w:lineRule="auto"/>
              <w:jc w:val="center"/>
              <w:rPr>
                <w:sz w:val="24"/>
                <w:szCs w:val="21"/>
              </w:rPr>
            </w:pPr>
            <w:r>
              <w:rPr>
                <w:rFonts w:hint="eastAsia"/>
                <w:sz w:val="24"/>
                <w:szCs w:val="21"/>
              </w:rPr>
              <w:t>生化反应池</w:t>
            </w:r>
          </w:p>
        </w:tc>
        <w:tc>
          <w:tcPr>
            <w:tcW w:w="4622" w:type="dxa"/>
            <w:vAlign w:val="center"/>
          </w:tcPr>
          <w:p>
            <w:pPr>
              <w:adjustRightInd w:val="0"/>
              <w:snapToGrid w:val="0"/>
              <w:spacing w:line="240" w:lineRule="auto"/>
              <w:jc w:val="center"/>
              <w:rPr>
                <w:sz w:val="24"/>
                <w:szCs w:val="21"/>
              </w:rPr>
            </w:pPr>
            <w:r>
              <w:rPr>
                <w:rFonts w:hint="eastAsia"/>
                <w:sz w:val="24"/>
                <w:szCs w:val="21"/>
              </w:rPr>
              <w:t>尺寸：4.9m×11.85m×5.5m</w:t>
            </w:r>
          </w:p>
          <w:p>
            <w:pPr>
              <w:adjustRightInd w:val="0"/>
              <w:snapToGrid w:val="0"/>
              <w:spacing w:line="240" w:lineRule="auto"/>
              <w:jc w:val="center"/>
              <w:rPr>
                <w:sz w:val="24"/>
                <w:szCs w:val="21"/>
              </w:rPr>
            </w:pPr>
            <w:r>
              <w:rPr>
                <w:rFonts w:hint="eastAsia"/>
                <w:sz w:val="24"/>
                <w:szCs w:val="21"/>
              </w:rPr>
              <w:t>V</w:t>
            </w:r>
            <w:r>
              <w:rPr>
                <w:rFonts w:hint="eastAsia"/>
                <w:sz w:val="24"/>
                <w:szCs w:val="21"/>
                <w:vertAlign w:val="subscript"/>
              </w:rPr>
              <w:t>有效</w:t>
            </w:r>
            <w:r>
              <w:rPr>
                <w:rFonts w:hint="eastAsia"/>
                <w:sz w:val="24"/>
                <w:szCs w:val="21"/>
              </w:rPr>
              <w:t>=250m</w:t>
            </w:r>
            <w:r>
              <w:rPr>
                <w:rFonts w:hint="eastAsia"/>
                <w:sz w:val="24"/>
                <w:szCs w:val="21"/>
                <w:vertAlign w:val="superscript"/>
              </w:rPr>
              <w:t>3</w:t>
            </w:r>
          </w:p>
        </w:tc>
        <w:tc>
          <w:tcPr>
            <w:tcW w:w="1225" w:type="dxa"/>
            <w:vAlign w:val="center"/>
          </w:tcPr>
          <w:p>
            <w:pPr>
              <w:adjustRightInd w:val="0"/>
              <w:snapToGrid w:val="0"/>
              <w:spacing w:line="240" w:lineRule="auto"/>
              <w:jc w:val="center"/>
              <w:rPr>
                <w:sz w:val="24"/>
                <w:szCs w:val="21"/>
              </w:rPr>
            </w:pPr>
            <w:r>
              <w:rPr>
                <w:rFonts w:hint="eastAsia"/>
                <w:sz w:val="24"/>
                <w:szCs w:val="21"/>
              </w:rPr>
              <w:t>6座</w:t>
            </w:r>
          </w:p>
        </w:tc>
        <w:tc>
          <w:tcPr>
            <w:tcW w:w="848" w:type="dxa"/>
            <w:vAlign w:val="center"/>
          </w:tcPr>
          <w:p>
            <w:pPr>
              <w:adjustRightInd w:val="0"/>
              <w:snapToGrid w:val="0"/>
              <w:spacing w:line="240" w:lineRule="auto"/>
              <w:jc w:val="center"/>
              <w:rPr>
                <w:sz w:val="24"/>
                <w:szCs w:val="21"/>
              </w:rPr>
            </w:pPr>
            <w:r>
              <w:rPr>
                <w:rFonts w:hint="eastAsia"/>
                <w:sz w:val="24"/>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pPr>
              <w:spacing w:line="240" w:lineRule="auto"/>
              <w:jc w:val="center"/>
              <w:rPr>
                <w:sz w:val="24"/>
                <w:szCs w:val="21"/>
              </w:rPr>
            </w:pPr>
            <w:r>
              <w:rPr>
                <w:rFonts w:hint="eastAsia"/>
                <w:sz w:val="24"/>
                <w:szCs w:val="21"/>
              </w:rPr>
              <w:t>5</w:t>
            </w:r>
          </w:p>
        </w:tc>
        <w:tc>
          <w:tcPr>
            <w:tcW w:w="1628" w:type="dxa"/>
            <w:vAlign w:val="center"/>
          </w:tcPr>
          <w:p>
            <w:pPr>
              <w:adjustRightInd w:val="0"/>
              <w:snapToGrid w:val="0"/>
              <w:spacing w:line="240" w:lineRule="auto"/>
              <w:jc w:val="center"/>
              <w:rPr>
                <w:sz w:val="24"/>
                <w:szCs w:val="21"/>
              </w:rPr>
            </w:pPr>
            <w:r>
              <w:rPr>
                <w:sz w:val="24"/>
                <w:szCs w:val="21"/>
              </w:rPr>
              <w:t>沉淀池</w:t>
            </w:r>
          </w:p>
        </w:tc>
        <w:tc>
          <w:tcPr>
            <w:tcW w:w="4622" w:type="dxa"/>
            <w:vAlign w:val="center"/>
          </w:tcPr>
          <w:p>
            <w:pPr>
              <w:adjustRightInd w:val="0"/>
              <w:snapToGrid w:val="0"/>
              <w:spacing w:line="240" w:lineRule="auto"/>
              <w:jc w:val="center"/>
              <w:rPr>
                <w:sz w:val="24"/>
                <w:szCs w:val="21"/>
              </w:rPr>
            </w:pPr>
            <w:r>
              <w:rPr>
                <w:rFonts w:hint="eastAsia"/>
                <w:sz w:val="24"/>
                <w:szCs w:val="21"/>
              </w:rPr>
              <w:t>尺寸：4.35m×19.08m×5.5m，V</w:t>
            </w:r>
            <w:r>
              <w:rPr>
                <w:rFonts w:hint="eastAsia"/>
                <w:sz w:val="24"/>
                <w:szCs w:val="21"/>
                <w:vertAlign w:val="subscript"/>
              </w:rPr>
              <w:t>有效</w:t>
            </w:r>
            <w:r>
              <w:rPr>
                <w:rFonts w:hint="eastAsia"/>
                <w:sz w:val="24"/>
                <w:szCs w:val="21"/>
              </w:rPr>
              <w:t>=375m</w:t>
            </w:r>
            <w:r>
              <w:rPr>
                <w:rFonts w:hint="eastAsia"/>
                <w:sz w:val="24"/>
                <w:szCs w:val="21"/>
                <w:vertAlign w:val="superscript"/>
              </w:rPr>
              <w:t>3</w:t>
            </w:r>
          </w:p>
        </w:tc>
        <w:tc>
          <w:tcPr>
            <w:tcW w:w="1225" w:type="dxa"/>
            <w:vAlign w:val="center"/>
          </w:tcPr>
          <w:p>
            <w:pPr>
              <w:adjustRightInd w:val="0"/>
              <w:snapToGrid w:val="0"/>
              <w:spacing w:line="240" w:lineRule="auto"/>
              <w:jc w:val="center"/>
              <w:rPr>
                <w:sz w:val="24"/>
                <w:szCs w:val="21"/>
              </w:rPr>
            </w:pPr>
            <w:r>
              <w:rPr>
                <w:rFonts w:hint="eastAsia"/>
                <w:sz w:val="24"/>
                <w:szCs w:val="21"/>
              </w:rPr>
              <w:t>2座</w:t>
            </w:r>
          </w:p>
        </w:tc>
        <w:tc>
          <w:tcPr>
            <w:tcW w:w="848" w:type="dxa"/>
            <w:vAlign w:val="center"/>
          </w:tcPr>
          <w:p>
            <w:pPr>
              <w:adjustRightInd w:val="0"/>
              <w:snapToGrid w:val="0"/>
              <w:spacing w:line="240" w:lineRule="auto"/>
              <w:jc w:val="center"/>
              <w:rPr>
                <w:sz w:val="24"/>
                <w:szCs w:val="21"/>
              </w:rPr>
            </w:pPr>
            <w:r>
              <w:rPr>
                <w:rFonts w:hint="eastAsia"/>
                <w:sz w:val="24"/>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pPr>
              <w:spacing w:line="240" w:lineRule="auto"/>
              <w:jc w:val="center"/>
              <w:rPr>
                <w:sz w:val="24"/>
                <w:szCs w:val="21"/>
              </w:rPr>
            </w:pPr>
            <w:r>
              <w:rPr>
                <w:rFonts w:hint="eastAsia"/>
                <w:sz w:val="24"/>
                <w:szCs w:val="21"/>
              </w:rPr>
              <w:t>6</w:t>
            </w:r>
          </w:p>
        </w:tc>
        <w:tc>
          <w:tcPr>
            <w:tcW w:w="1628" w:type="dxa"/>
            <w:vAlign w:val="center"/>
          </w:tcPr>
          <w:p>
            <w:pPr>
              <w:adjustRightInd w:val="0"/>
              <w:snapToGrid w:val="0"/>
              <w:spacing w:line="240" w:lineRule="auto"/>
              <w:jc w:val="center"/>
              <w:rPr>
                <w:sz w:val="24"/>
                <w:szCs w:val="21"/>
              </w:rPr>
            </w:pPr>
            <w:r>
              <w:rPr>
                <w:rFonts w:hint="eastAsia"/>
                <w:sz w:val="24"/>
                <w:szCs w:val="21"/>
              </w:rPr>
              <w:t>缓冲</w:t>
            </w:r>
            <w:r>
              <w:rPr>
                <w:sz w:val="24"/>
                <w:szCs w:val="21"/>
              </w:rPr>
              <w:t>水池</w:t>
            </w:r>
          </w:p>
        </w:tc>
        <w:tc>
          <w:tcPr>
            <w:tcW w:w="4622" w:type="dxa"/>
            <w:vAlign w:val="center"/>
          </w:tcPr>
          <w:p>
            <w:pPr>
              <w:adjustRightInd w:val="0"/>
              <w:snapToGrid w:val="0"/>
              <w:spacing w:line="240" w:lineRule="auto"/>
              <w:jc w:val="center"/>
              <w:rPr>
                <w:sz w:val="24"/>
                <w:szCs w:val="21"/>
              </w:rPr>
            </w:pPr>
            <w:r>
              <w:rPr>
                <w:rFonts w:hint="eastAsia"/>
                <w:sz w:val="24"/>
                <w:szCs w:val="21"/>
              </w:rPr>
              <w:t>尺寸：3.0m×19.08m×5.5m，V</w:t>
            </w:r>
            <w:r>
              <w:rPr>
                <w:rFonts w:hint="eastAsia"/>
                <w:sz w:val="24"/>
                <w:szCs w:val="21"/>
                <w:vertAlign w:val="subscript"/>
              </w:rPr>
              <w:t>有效</w:t>
            </w:r>
            <w:r>
              <w:rPr>
                <w:rFonts w:hint="eastAsia"/>
                <w:sz w:val="24"/>
                <w:szCs w:val="21"/>
              </w:rPr>
              <w:t>=250m</w:t>
            </w:r>
            <w:r>
              <w:rPr>
                <w:rFonts w:hint="eastAsia"/>
                <w:sz w:val="24"/>
                <w:szCs w:val="21"/>
                <w:vertAlign w:val="superscript"/>
              </w:rPr>
              <w:t>3</w:t>
            </w:r>
          </w:p>
        </w:tc>
        <w:tc>
          <w:tcPr>
            <w:tcW w:w="1225" w:type="dxa"/>
            <w:vAlign w:val="center"/>
          </w:tcPr>
          <w:p>
            <w:pPr>
              <w:adjustRightInd w:val="0"/>
              <w:snapToGrid w:val="0"/>
              <w:spacing w:line="240" w:lineRule="auto"/>
              <w:jc w:val="center"/>
              <w:rPr>
                <w:sz w:val="24"/>
                <w:szCs w:val="21"/>
              </w:rPr>
            </w:pPr>
            <w:r>
              <w:rPr>
                <w:rFonts w:hint="eastAsia"/>
                <w:sz w:val="24"/>
                <w:szCs w:val="21"/>
              </w:rPr>
              <w:t>1座</w:t>
            </w:r>
          </w:p>
        </w:tc>
        <w:tc>
          <w:tcPr>
            <w:tcW w:w="848" w:type="dxa"/>
            <w:vAlign w:val="center"/>
          </w:tcPr>
          <w:p>
            <w:pPr>
              <w:adjustRightInd w:val="0"/>
              <w:snapToGrid w:val="0"/>
              <w:spacing w:line="240" w:lineRule="auto"/>
              <w:jc w:val="center"/>
              <w:rPr>
                <w:sz w:val="24"/>
                <w:szCs w:val="21"/>
              </w:rPr>
            </w:pPr>
            <w:r>
              <w:rPr>
                <w:rFonts w:hint="eastAsia"/>
                <w:sz w:val="24"/>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pPr>
              <w:spacing w:line="240" w:lineRule="auto"/>
              <w:jc w:val="center"/>
              <w:rPr>
                <w:sz w:val="24"/>
                <w:szCs w:val="21"/>
              </w:rPr>
            </w:pPr>
            <w:r>
              <w:rPr>
                <w:rFonts w:hint="eastAsia"/>
                <w:sz w:val="24"/>
                <w:szCs w:val="21"/>
              </w:rPr>
              <w:t>7</w:t>
            </w:r>
          </w:p>
        </w:tc>
        <w:tc>
          <w:tcPr>
            <w:tcW w:w="1628" w:type="dxa"/>
            <w:vAlign w:val="center"/>
          </w:tcPr>
          <w:p>
            <w:pPr>
              <w:adjustRightInd w:val="0"/>
              <w:snapToGrid w:val="0"/>
              <w:spacing w:line="240" w:lineRule="auto"/>
              <w:jc w:val="center"/>
              <w:rPr>
                <w:sz w:val="24"/>
                <w:szCs w:val="21"/>
              </w:rPr>
            </w:pPr>
            <w:r>
              <w:rPr>
                <w:sz w:val="24"/>
                <w:szCs w:val="21"/>
              </w:rPr>
              <w:t>改性纤维球过滤器</w:t>
            </w:r>
          </w:p>
        </w:tc>
        <w:tc>
          <w:tcPr>
            <w:tcW w:w="4622" w:type="dxa"/>
            <w:vAlign w:val="center"/>
          </w:tcPr>
          <w:p>
            <w:pPr>
              <w:adjustRightInd w:val="0"/>
              <w:snapToGrid w:val="0"/>
              <w:spacing w:line="240" w:lineRule="auto"/>
              <w:jc w:val="center"/>
              <w:rPr>
                <w:sz w:val="24"/>
                <w:szCs w:val="21"/>
              </w:rPr>
            </w:pPr>
            <w:r>
              <w:rPr>
                <w:rFonts w:hint="eastAsia"/>
                <w:sz w:val="24"/>
                <w:szCs w:val="21"/>
              </w:rPr>
              <w:t>单罐处理水量Q=200m</w:t>
            </w:r>
            <w:r>
              <w:rPr>
                <w:rFonts w:hint="eastAsia"/>
                <w:sz w:val="24"/>
                <w:szCs w:val="21"/>
                <w:vertAlign w:val="superscript"/>
              </w:rPr>
              <w:t>3</w:t>
            </w:r>
            <w:r>
              <w:rPr>
                <w:rFonts w:hint="eastAsia"/>
                <w:sz w:val="24"/>
                <w:szCs w:val="21"/>
              </w:rPr>
              <w:t>/h，</w:t>
            </w:r>
          </w:p>
        </w:tc>
        <w:tc>
          <w:tcPr>
            <w:tcW w:w="1225" w:type="dxa"/>
            <w:vAlign w:val="center"/>
          </w:tcPr>
          <w:p>
            <w:pPr>
              <w:adjustRightInd w:val="0"/>
              <w:snapToGrid w:val="0"/>
              <w:spacing w:line="240" w:lineRule="auto"/>
              <w:jc w:val="center"/>
              <w:rPr>
                <w:sz w:val="24"/>
                <w:szCs w:val="21"/>
              </w:rPr>
            </w:pPr>
            <w:r>
              <w:rPr>
                <w:rFonts w:hint="eastAsia"/>
                <w:sz w:val="24"/>
                <w:szCs w:val="21"/>
              </w:rPr>
              <w:t>6台</w:t>
            </w:r>
          </w:p>
        </w:tc>
        <w:tc>
          <w:tcPr>
            <w:tcW w:w="848" w:type="dxa"/>
            <w:vAlign w:val="center"/>
          </w:tcPr>
          <w:p>
            <w:pPr>
              <w:adjustRightInd w:val="0"/>
              <w:snapToGrid w:val="0"/>
              <w:spacing w:line="240" w:lineRule="auto"/>
              <w:jc w:val="center"/>
              <w:rPr>
                <w:sz w:val="24"/>
                <w:szCs w:val="21"/>
              </w:rPr>
            </w:pPr>
            <w:r>
              <w:rPr>
                <w:rFonts w:hint="eastAsia"/>
                <w:sz w:val="24"/>
                <w:szCs w:val="21"/>
              </w:rPr>
              <w:t>改造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pPr>
              <w:spacing w:line="240" w:lineRule="auto"/>
              <w:jc w:val="center"/>
              <w:rPr>
                <w:sz w:val="24"/>
                <w:szCs w:val="21"/>
              </w:rPr>
            </w:pPr>
            <w:r>
              <w:rPr>
                <w:rFonts w:hint="eastAsia"/>
                <w:sz w:val="24"/>
                <w:szCs w:val="21"/>
              </w:rPr>
              <w:t>8</w:t>
            </w:r>
          </w:p>
        </w:tc>
        <w:tc>
          <w:tcPr>
            <w:tcW w:w="1628" w:type="dxa"/>
            <w:vAlign w:val="center"/>
          </w:tcPr>
          <w:p>
            <w:pPr>
              <w:adjustRightInd w:val="0"/>
              <w:snapToGrid w:val="0"/>
              <w:spacing w:line="240" w:lineRule="auto"/>
              <w:jc w:val="center"/>
              <w:rPr>
                <w:sz w:val="24"/>
                <w:szCs w:val="21"/>
              </w:rPr>
            </w:pPr>
            <w:r>
              <w:rPr>
                <w:rFonts w:hint="eastAsia"/>
                <w:sz w:val="24"/>
                <w:szCs w:val="21"/>
              </w:rPr>
              <w:t>污油罐</w:t>
            </w:r>
          </w:p>
        </w:tc>
        <w:tc>
          <w:tcPr>
            <w:tcW w:w="4622" w:type="dxa"/>
            <w:vAlign w:val="center"/>
          </w:tcPr>
          <w:p>
            <w:pPr>
              <w:adjustRightInd w:val="0"/>
              <w:snapToGrid w:val="0"/>
              <w:spacing w:line="240" w:lineRule="auto"/>
              <w:jc w:val="center"/>
              <w:rPr>
                <w:sz w:val="24"/>
                <w:szCs w:val="21"/>
              </w:rPr>
            </w:pPr>
            <w:r>
              <w:rPr>
                <w:sz w:val="24"/>
                <w:szCs w:val="21"/>
              </w:rPr>
              <w:t>V=20m</w:t>
            </w:r>
            <w:r>
              <w:rPr>
                <w:sz w:val="24"/>
                <w:szCs w:val="21"/>
                <w:vertAlign w:val="superscript"/>
              </w:rPr>
              <w:t>3</w:t>
            </w:r>
            <w:r>
              <w:rPr>
                <w:sz w:val="24"/>
                <w:szCs w:val="21"/>
              </w:rPr>
              <w:t>，∅3.2m，H=3.</w:t>
            </w:r>
            <w:r>
              <w:rPr>
                <w:rFonts w:hint="eastAsia"/>
                <w:sz w:val="24"/>
                <w:szCs w:val="21"/>
              </w:rPr>
              <w:t>0</w:t>
            </w:r>
            <w:r>
              <w:rPr>
                <w:sz w:val="24"/>
                <w:szCs w:val="21"/>
              </w:rPr>
              <w:t>m</w:t>
            </w:r>
          </w:p>
        </w:tc>
        <w:tc>
          <w:tcPr>
            <w:tcW w:w="1225" w:type="dxa"/>
            <w:vAlign w:val="center"/>
          </w:tcPr>
          <w:p>
            <w:pPr>
              <w:adjustRightInd w:val="0"/>
              <w:snapToGrid w:val="0"/>
              <w:spacing w:line="240" w:lineRule="auto"/>
              <w:jc w:val="center"/>
              <w:rPr>
                <w:sz w:val="24"/>
                <w:szCs w:val="21"/>
              </w:rPr>
            </w:pPr>
            <w:r>
              <w:rPr>
                <w:rFonts w:hint="eastAsia"/>
                <w:sz w:val="24"/>
                <w:szCs w:val="21"/>
              </w:rPr>
              <w:t>1座</w:t>
            </w:r>
          </w:p>
        </w:tc>
        <w:tc>
          <w:tcPr>
            <w:tcW w:w="848" w:type="dxa"/>
            <w:vAlign w:val="center"/>
          </w:tcPr>
          <w:p>
            <w:pPr>
              <w:adjustRightInd w:val="0"/>
              <w:snapToGrid w:val="0"/>
              <w:spacing w:line="240" w:lineRule="auto"/>
              <w:jc w:val="center"/>
              <w:rPr>
                <w:sz w:val="24"/>
                <w:szCs w:val="21"/>
              </w:rPr>
            </w:pPr>
            <w:r>
              <w:rPr>
                <w:rFonts w:hint="eastAsia"/>
                <w:sz w:val="24"/>
                <w:szCs w:val="21"/>
              </w:rPr>
              <w:t>利旧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pPr>
              <w:spacing w:line="240" w:lineRule="auto"/>
              <w:jc w:val="center"/>
              <w:rPr>
                <w:sz w:val="24"/>
                <w:szCs w:val="21"/>
              </w:rPr>
            </w:pPr>
            <w:r>
              <w:rPr>
                <w:rFonts w:hint="eastAsia"/>
                <w:sz w:val="24"/>
                <w:szCs w:val="21"/>
              </w:rPr>
              <w:t>9</w:t>
            </w:r>
          </w:p>
        </w:tc>
        <w:tc>
          <w:tcPr>
            <w:tcW w:w="1628" w:type="dxa"/>
            <w:vAlign w:val="center"/>
          </w:tcPr>
          <w:p>
            <w:pPr>
              <w:adjustRightInd w:val="0"/>
              <w:snapToGrid w:val="0"/>
              <w:spacing w:line="240" w:lineRule="auto"/>
              <w:jc w:val="center"/>
              <w:rPr>
                <w:sz w:val="24"/>
                <w:szCs w:val="21"/>
              </w:rPr>
            </w:pPr>
            <w:r>
              <w:rPr>
                <w:rFonts w:hint="eastAsia"/>
                <w:sz w:val="24"/>
                <w:szCs w:val="21"/>
              </w:rPr>
              <w:t>鼓风机房</w:t>
            </w:r>
          </w:p>
        </w:tc>
        <w:tc>
          <w:tcPr>
            <w:tcW w:w="4622" w:type="dxa"/>
            <w:vAlign w:val="center"/>
          </w:tcPr>
          <w:p>
            <w:pPr>
              <w:adjustRightInd w:val="0"/>
              <w:snapToGrid w:val="0"/>
              <w:spacing w:line="240" w:lineRule="auto"/>
              <w:jc w:val="center"/>
              <w:rPr>
                <w:sz w:val="24"/>
                <w:szCs w:val="21"/>
              </w:rPr>
            </w:pPr>
            <w:r>
              <w:rPr>
                <w:rFonts w:hint="eastAsia"/>
                <w:sz w:val="24"/>
                <w:szCs w:val="21"/>
              </w:rPr>
              <w:t>12.0m×7.5m</w:t>
            </w:r>
          </w:p>
        </w:tc>
        <w:tc>
          <w:tcPr>
            <w:tcW w:w="1225" w:type="dxa"/>
            <w:vAlign w:val="center"/>
          </w:tcPr>
          <w:p>
            <w:pPr>
              <w:adjustRightInd w:val="0"/>
              <w:snapToGrid w:val="0"/>
              <w:spacing w:line="240" w:lineRule="auto"/>
              <w:jc w:val="center"/>
              <w:rPr>
                <w:sz w:val="24"/>
                <w:szCs w:val="21"/>
              </w:rPr>
            </w:pPr>
            <w:r>
              <w:rPr>
                <w:rFonts w:hint="eastAsia"/>
                <w:sz w:val="24"/>
                <w:szCs w:val="21"/>
              </w:rPr>
              <w:t>1间</w:t>
            </w:r>
          </w:p>
        </w:tc>
        <w:tc>
          <w:tcPr>
            <w:tcW w:w="848" w:type="dxa"/>
            <w:vAlign w:val="center"/>
          </w:tcPr>
          <w:p>
            <w:pPr>
              <w:adjustRightInd w:val="0"/>
              <w:snapToGrid w:val="0"/>
              <w:spacing w:line="240" w:lineRule="auto"/>
              <w:jc w:val="center"/>
              <w:rPr>
                <w:sz w:val="24"/>
                <w:szCs w:val="21"/>
              </w:rPr>
            </w:pPr>
            <w:r>
              <w:rPr>
                <w:rFonts w:hint="eastAsia"/>
                <w:sz w:val="24"/>
                <w:szCs w:val="21"/>
              </w:rPr>
              <w:t>新建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pPr>
              <w:spacing w:line="240" w:lineRule="auto"/>
              <w:jc w:val="center"/>
              <w:rPr>
                <w:sz w:val="24"/>
                <w:szCs w:val="21"/>
              </w:rPr>
            </w:pPr>
            <w:r>
              <w:rPr>
                <w:rFonts w:hint="eastAsia"/>
                <w:sz w:val="24"/>
                <w:szCs w:val="21"/>
              </w:rPr>
              <w:t>10</w:t>
            </w:r>
          </w:p>
        </w:tc>
        <w:tc>
          <w:tcPr>
            <w:tcW w:w="1628" w:type="dxa"/>
            <w:vAlign w:val="center"/>
          </w:tcPr>
          <w:p>
            <w:pPr>
              <w:adjustRightInd w:val="0"/>
              <w:snapToGrid w:val="0"/>
              <w:spacing w:line="240" w:lineRule="auto"/>
              <w:jc w:val="center"/>
              <w:rPr>
                <w:sz w:val="24"/>
                <w:szCs w:val="21"/>
              </w:rPr>
            </w:pPr>
            <w:r>
              <w:rPr>
                <w:rFonts w:hint="eastAsia"/>
                <w:sz w:val="24"/>
                <w:szCs w:val="21"/>
              </w:rPr>
              <w:t>滤后水罐</w:t>
            </w:r>
          </w:p>
        </w:tc>
        <w:tc>
          <w:tcPr>
            <w:tcW w:w="4622" w:type="dxa"/>
            <w:vAlign w:val="center"/>
          </w:tcPr>
          <w:p>
            <w:pPr>
              <w:adjustRightInd w:val="0"/>
              <w:snapToGrid w:val="0"/>
              <w:spacing w:line="240" w:lineRule="auto"/>
              <w:jc w:val="center"/>
              <w:rPr>
                <w:sz w:val="24"/>
                <w:szCs w:val="21"/>
              </w:rPr>
            </w:pPr>
            <w:r>
              <w:rPr>
                <w:rFonts w:hint="eastAsia"/>
                <w:sz w:val="24"/>
                <w:szCs w:val="21"/>
              </w:rPr>
              <w:t>V=400m</w:t>
            </w:r>
            <w:r>
              <w:rPr>
                <w:rFonts w:hint="eastAsia"/>
                <w:sz w:val="24"/>
                <w:szCs w:val="21"/>
                <w:vertAlign w:val="superscript"/>
              </w:rPr>
              <w:t>3</w:t>
            </w:r>
          </w:p>
        </w:tc>
        <w:tc>
          <w:tcPr>
            <w:tcW w:w="1225" w:type="dxa"/>
            <w:vAlign w:val="center"/>
          </w:tcPr>
          <w:p>
            <w:pPr>
              <w:adjustRightInd w:val="0"/>
              <w:snapToGrid w:val="0"/>
              <w:spacing w:line="240" w:lineRule="auto"/>
              <w:jc w:val="center"/>
              <w:rPr>
                <w:sz w:val="24"/>
                <w:szCs w:val="21"/>
              </w:rPr>
            </w:pPr>
            <w:r>
              <w:rPr>
                <w:rFonts w:hint="eastAsia"/>
                <w:sz w:val="24"/>
                <w:szCs w:val="21"/>
              </w:rPr>
              <w:t>2座</w:t>
            </w:r>
          </w:p>
        </w:tc>
        <w:tc>
          <w:tcPr>
            <w:tcW w:w="848" w:type="dxa"/>
            <w:vAlign w:val="center"/>
          </w:tcPr>
          <w:p>
            <w:pPr>
              <w:adjustRightInd w:val="0"/>
              <w:snapToGrid w:val="0"/>
              <w:spacing w:line="240" w:lineRule="auto"/>
              <w:jc w:val="center"/>
              <w:rPr>
                <w:sz w:val="24"/>
                <w:szCs w:val="21"/>
              </w:rPr>
            </w:pPr>
            <w:r>
              <w:rPr>
                <w:rFonts w:hint="eastAsia"/>
                <w:sz w:val="24"/>
                <w:szCs w:val="21"/>
              </w:rPr>
              <w:t>利旧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3" w:type="dxa"/>
            <w:vAlign w:val="center"/>
          </w:tcPr>
          <w:p>
            <w:pPr>
              <w:spacing w:line="240" w:lineRule="auto"/>
              <w:jc w:val="center"/>
              <w:rPr>
                <w:sz w:val="24"/>
                <w:szCs w:val="21"/>
              </w:rPr>
            </w:pPr>
            <w:r>
              <w:rPr>
                <w:rFonts w:hint="eastAsia"/>
                <w:sz w:val="24"/>
                <w:szCs w:val="21"/>
              </w:rPr>
              <w:t>11</w:t>
            </w:r>
          </w:p>
        </w:tc>
        <w:tc>
          <w:tcPr>
            <w:tcW w:w="1628" w:type="dxa"/>
            <w:vAlign w:val="center"/>
          </w:tcPr>
          <w:p>
            <w:pPr>
              <w:adjustRightInd w:val="0"/>
              <w:snapToGrid w:val="0"/>
              <w:spacing w:line="240" w:lineRule="auto"/>
              <w:jc w:val="center"/>
              <w:rPr>
                <w:sz w:val="24"/>
                <w:szCs w:val="21"/>
              </w:rPr>
            </w:pPr>
            <w:r>
              <w:rPr>
                <w:rFonts w:hint="eastAsia"/>
                <w:sz w:val="24"/>
                <w:szCs w:val="21"/>
              </w:rPr>
              <w:t>注水、消防清水储罐</w:t>
            </w:r>
          </w:p>
        </w:tc>
        <w:tc>
          <w:tcPr>
            <w:tcW w:w="4622" w:type="dxa"/>
            <w:vAlign w:val="center"/>
          </w:tcPr>
          <w:p>
            <w:pPr>
              <w:adjustRightInd w:val="0"/>
              <w:snapToGrid w:val="0"/>
              <w:spacing w:line="240" w:lineRule="auto"/>
              <w:jc w:val="center"/>
              <w:rPr>
                <w:sz w:val="24"/>
                <w:szCs w:val="21"/>
              </w:rPr>
            </w:pPr>
            <w:r>
              <w:rPr>
                <w:rFonts w:hint="eastAsia"/>
                <w:sz w:val="24"/>
                <w:szCs w:val="21"/>
              </w:rPr>
              <w:t>1600m</w:t>
            </w:r>
            <w:r>
              <w:rPr>
                <w:rFonts w:hint="eastAsia"/>
                <w:sz w:val="24"/>
                <w:szCs w:val="21"/>
                <w:vertAlign w:val="superscript"/>
              </w:rPr>
              <w:t>3</w:t>
            </w:r>
          </w:p>
        </w:tc>
        <w:tc>
          <w:tcPr>
            <w:tcW w:w="1225" w:type="dxa"/>
            <w:vAlign w:val="center"/>
          </w:tcPr>
          <w:p>
            <w:pPr>
              <w:adjustRightInd w:val="0"/>
              <w:snapToGrid w:val="0"/>
              <w:spacing w:line="240" w:lineRule="auto"/>
              <w:jc w:val="center"/>
              <w:rPr>
                <w:sz w:val="24"/>
                <w:szCs w:val="21"/>
              </w:rPr>
            </w:pPr>
            <w:r>
              <w:rPr>
                <w:rFonts w:hint="eastAsia"/>
                <w:sz w:val="24"/>
                <w:szCs w:val="21"/>
              </w:rPr>
              <w:t>2座</w:t>
            </w:r>
          </w:p>
        </w:tc>
        <w:tc>
          <w:tcPr>
            <w:tcW w:w="848" w:type="dxa"/>
            <w:vAlign w:val="center"/>
          </w:tcPr>
          <w:p>
            <w:pPr>
              <w:adjustRightInd w:val="0"/>
              <w:snapToGrid w:val="0"/>
              <w:spacing w:line="240" w:lineRule="auto"/>
              <w:jc w:val="center"/>
              <w:rPr>
                <w:sz w:val="24"/>
                <w:szCs w:val="21"/>
              </w:rPr>
            </w:pPr>
            <w:r>
              <w:rPr>
                <w:rFonts w:hint="eastAsia"/>
                <w:sz w:val="24"/>
                <w:szCs w:val="21"/>
              </w:rPr>
              <w:t>利旧</w:t>
            </w:r>
          </w:p>
        </w:tc>
      </w:tr>
    </w:tbl>
    <w:p>
      <w:pPr>
        <w:ind w:firstLine="560" w:firstLineChars="200"/>
        <w:rPr>
          <w:color w:val="000000"/>
          <w:kern w:val="0"/>
          <w:szCs w:val="28"/>
        </w:rPr>
        <w:sectPr>
          <w:footerReference r:id="rId10" w:type="default"/>
          <w:pgSz w:w="11906" w:h="16838"/>
          <w:pgMar w:top="1440" w:right="1426" w:bottom="1440" w:left="1520" w:header="851" w:footer="992" w:gutter="0"/>
          <w:pgNumType w:start="1"/>
          <w:cols w:space="720" w:num="1"/>
          <w:docGrid w:type="lines" w:linePitch="312" w:charSpace="0"/>
        </w:sectPr>
      </w:pPr>
    </w:p>
    <w:p>
      <w:pPr>
        <w:ind w:firstLine="482" w:firstLineChars="200"/>
        <w:jc w:val="center"/>
        <w:rPr>
          <w:b/>
          <w:bCs/>
          <w:color w:val="000000"/>
          <w:sz w:val="24"/>
        </w:rPr>
      </w:pPr>
      <w:r>
        <w:rPr>
          <w:b/>
          <w:sz w:val="24"/>
          <w:szCs w:val="20"/>
        </w:rPr>
        <w:drawing>
          <wp:anchor distT="0" distB="0" distL="114300" distR="114300" simplePos="0" relativeHeight="251668480" behindDoc="0" locked="0" layoutInCell="1" allowOverlap="1">
            <wp:simplePos x="0" y="0"/>
            <wp:positionH relativeFrom="column">
              <wp:posOffset>7979410</wp:posOffset>
            </wp:positionH>
            <wp:positionV relativeFrom="paragraph">
              <wp:posOffset>113030</wp:posOffset>
            </wp:positionV>
            <wp:extent cx="723900" cy="643890"/>
            <wp:effectExtent l="19050" t="19050" r="19050" b="2286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8"/>
                    <a:stretch>
                      <a:fillRect/>
                    </a:stretch>
                  </pic:blipFill>
                  <pic:spPr>
                    <a:xfrm>
                      <a:off x="0" y="0"/>
                      <a:ext cx="723900" cy="643890"/>
                    </a:xfrm>
                    <a:prstGeom prst="rect">
                      <a:avLst/>
                    </a:prstGeom>
                    <a:noFill/>
                    <a:ln w="19050" cap="flat" cmpd="sng">
                      <a:solidFill>
                        <a:srgbClr val="FFFFFF"/>
                      </a:solidFill>
                      <a:prstDash val="solid"/>
                      <a:miter/>
                      <a:headEnd type="none" w="med" len="med"/>
                      <a:tailEnd type="none" w="med" len="med"/>
                    </a:ln>
                  </pic:spPr>
                </pic:pic>
              </a:graphicData>
            </a:graphic>
          </wp:anchor>
        </w:drawing>
      </w:r>
      <w:r>
        <w:rPr>
          <w:b/>
          <w:sz w:val="24"/>
          <w:szCs w:val="20"/>
        </w:rPr>
        <mc:AlternateContent>
          <mc:Choice Requires="wps">
            <w:drawing>
              <wp:anchor distT="0" distB="0" distL="114300" distR="114300" simplePos="0" relativeHeight="251666432" behindDoc="0" locked="0" layoutInCell="1" allowOverlap="1">
                <wp:simplePos x="0" y="0"/>
                <wp:positionH relativeFrom="column">
                  <wp:posOffset>3591560</wp:posOffset>
                </wp:positionH>
                <wp:positionV relativeFrom="paragraph">
                  <wp:posOffset>1122680</wp:posOffset>
                </wp:positionV>
                <wp:extent cx="735330" cy="407670"/>
                <wp:effectExtent l="0" t="0" r="0" b="0"/>
                <wp:wrapNone/>
                <wp:docPr id="38" name="矩形 2"/>
                <wp:cNvGraphicFramePr/>
                <a:graphic xmlns:a="http://schemas.openxmlformats.org/drawingml/2006/main">
                  <a:graphicData uri="http://schemas.microsoft.com/office/word/2010/wordprocessingShape">
                    <wps:wsp>
                      <wps:cNvSpPr/>
                      <wps:spPr>
                        <a:xfrm>
                          <a:off x="0" y="0"/>
                          <a:ext cx="735330" cy="407670"/>
                        </a:xfrm>
                        <a:prstGeom prst="rect">
                          <a:avLst/>
                        </a:prstGeom>
                        <a:noFill/>
                        <a:ln w="9525">
                          <a:noFill/>
                        </a:ln>
                        <a:effectLst/>
                      </wps:spPr>
                      <wps:txbx>
                        <w:txbxContent>
                          <w:p>
                            <w:pPr>
                              <w:rPr>
                                <w:b/>
                              </w:rPr>
                            </w:pPr>
                            <w:r>
                              <w:rPr>
                                <w:b/>
                              </w:rPr>
                              <w:t>项目区</w:t>
                            </w:r>
                          </w:p>
                        </w:txbxContent>
                      </wps:txbx>
                      <wps:bodyPr upright="1"/>
                    </wps:wsp>
                  </a:graphicData>
                </a:graphic>
              </wp:anchor>
            </w:drawing>
          </mc:Choice>
          <mc:Fallback>
            <w:pict>
              <v:rect id="矩形 2" o:spid="_x0000_s1026" o:spt="1" style="position:absolute;left:0pt;margin-left:282.8pt;margin-top:88.4pt;height:32.1pt;width:57.9pt;z-index:251666432;mso-width-relative:page;mso-height-relative:page;" filled="f" stroked="f" coordsize="21600,21600" o:gfxdata="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Nye7/bAAAACwEAAA8AAAAAAAAAAQAgAAAAIgAAAGRycy9kb3ducmV2LnhtbFBLAQIUABQAAAAI&#10;AIdO4kCs+6MlsQEAAFgDAAAOAAAAAAAAAAEAIAAAACoBAABkcnMvZTJvRG9jLnhtbFBLBQYAAAAA&#10;BgAGAFkBAABNBQAAAAA=&#10;">
                <v:fill on="f" focussize="0,0"/>
                <v:stroke on="f"/>
                <v:imagedata o:title=""/>
                <o:lock v:ext="edit" aspectratio="f"/>
                <v:textbox>
                  <w:txbxContent>
                    <w:p>
                      <w:pPr>
                        <w:rPr>
                          <w:b/>
                        </w:rPr>
                      </w:pPr>
                      <w:r>
                        <w:rPr>
                          <w:b/>
                        </w:rPr>
                        <w:t>项目区</w:t>
                      </w:r>
                    </w:p>
                  </w:txbxContent>
                </v:textbox>
              </v:rect>
            </w:pict>
          </mc:Fallback>
        </mc:AlternateContent>
      </w:r>
      <w:r>
        <w:rPr>
          <w:b/>
          <w:sz w:val="24"/>
          <w:szCs w:val="20"/>
        </w:rPr>
        <mc:AlternateContent>
          <mc:Choice Requires="wps">
            <w:drawing>
              <wp:anchor distT="0" distB="0" distL="114300" distR="114300" simplePos="0" relativeHeight="251667456" behindDoc="0" locked="0" layoutInCell="1" allowOverlap="1">
                <wp:simplePos x="0" y="0"/>
                <wp:positionH relativeFrom="column">
                  <wp:posOffset>3862705</wp:posOffset>
                </wp:positionH>
                <wp:positionV relativeFrom="paragraph">
                  <wp:posOffset>1470025</wp:posOffset>
                </wp:positionV>
                <wp:extent cx="138430" cy="103505"/>
                <wp:effectExtent l="17780" t="12700" r="34290" b="17145"/>
                <wp:wrapNone/>
                <wp:docPr id="39" name="自选图形 3"/>
                <wp:cNvGraphicFramePr/>
                <a:graphic xmlns:a="http://schemas.openxmlformats.org/drawingml/2006/main">
                  <a:graphicData uri="http://schemas.microsoft.com/office/word/2010/wordprocessingShape">
                    <wps:wsp>
                      <wps:cNvSpPr/>
                      <wps:spPr>
                        <a:xfrm>
                          <a:off x="0" y="0"/>
                          <a:ext cx="138430" cy="103505"/>
                        </a:xfrm>
                        <a:prstGeom prst="star5">
                          <a:avLst/>
                        </a:prstGeom>
                        <a:solidFill>
                          <a:srgbClr val="FF0000"/>
                        </a:solidFill>
                        <a:ln w="9525" cap="flat" cmpd="sng">
                          <a:solidFill>
                            <a:srgbClr val="FF0000"/>
                          </a:solidFill>
                          <a:prstDash val="solid"/>
                          <a:miter/>
                          <a:headEnd type="none" w="med" len="med"/>
                          <a:tailEnd type="none" w="med" len="med"/>
                        </a:ln>
                        <a:effectLst/>
                      </wps:spPr>
                      <wps:bodyPr upright="1"/>
                    </wps:wsp>
                  </a:graphicData>
                </a:graphic>
              </wp:anchor>
            </w:drawing>
          </mc:Choice>
          <mc:Fallback>
            <w:pict>
              <v:shape id="自选图形 3" o:spid="_x0000_s1026" style="position:absolute;left:0pt;margin-left:304.15pt;margin-top:115.75pt;height:8.15pt;width:10.9pt;z-index:251667456;mso-width-relative:page;mso-height-relative:page;" fillcolor="#FF0000" filled="t" stroked="t" coordsize="138430,103505" o:gfxdata="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7Bh3HaAAAACwEAAA8AAAAAAAAAAQAgAAAA&#10;IgAAAGRycy9kb3ducmV2LnhtbFBLAQIUABQAAAAIAIdO4kD/nv3WCQIAADMEAAAOAAAAAAAAAAEA&#10;IAAAACkBAABkcnMvZTJvRG9jLnhtbFBLBQYAAAAABgAGAFkBAACkBQAAAAA=&#10;" path="m0,39535l52875,39535,69215,0,85554,39535,138429,39535,95652,63969,111992,103504,69215,79070,26437,103504,42777,63969xe">
                <v:path o:connectlocs="69215,0;0,39535;26437,103504;111992,103504;138429,39535" o:connectangles="247,164,82,82,0"/>
                <v:fill on="t" focussize="0,0"/>
                <v:stroke color="#FF0000" joinstyle="miter"/>
                <v:imagedata o:title=""/>
                <o:lock v:ext="edit" aspectratio="f"/>
              </v:shape>
            </w:pict>
          </mc:Fallback>
        </mc:AlternateContent>
      </w:r>
      <w:r>
        <w:rPr>
          <w:b/>
          <w:sz w:val="24"/>
          <w:szCs w:val="20"/>
        </w:rPr>
        <w:drawing>
          <wp:anchor distT="0" distB="0" distL="114300" distR="114300" simplePos="0" relativeHeight="251665408" behindDoc="0" locked="0" layoutInCell="1" allowOverlap="1">
            <wp:simplePos x="0" y="0"/>
            <wp:positionH relativeFrom="column">
              <wp:posOffset>-33655</wp:posOffset>
            </wp:positionH>
            <wp:positionV relativeFrom="paragraph">
              <wp:posOffset>49530</wp:posOffset>
            </wp:positionV>
            <wp:extent cx="8843645" cy="5010785"/>
            <wp:effectExtent l="9525" t="9525" r="24130" b="27940"/>
            <wp:wrapSquare wrapText="bothSides"/>
            <wp:docPr id="1" name="图片 1" descr="dd17d36b19429b5a2aeea114db00e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17d36b19429b5a2aeea114db00efbe"/>
                    <pic:cNvPicPr>
                      <a:picLocks noChangeAspect="1"/>
                    </pic:cNvPicPr>
                  </pic:nvPicPr>
                  <pic:blipFill>
                    <a:blip r:embed="rId29"/>
                    <a:srcRect t="4158"/>
                    <a:stretch>
                      <a:fillRect/>
                    </a:stretch>
                  </pic:blipFill>
                  <pic:spPr>
                    <a:xfrm>
                      <a:off x="0" y="0"/>
                      <a:ext cx="8843645" cy="5010785"/>
                    </a:xfrm>
                    <a:prstGeom prst="rect">
                      <a:avLst/>
                    </a:prstGeom>
                    <a:noFill/>
                    <a:ln w="9525" cap="flat" cmpd="sng">
                      <a:solidFill>
                        <a:srgbClr val="000000"/>
                      </a:solidFill>
                      <a:prstDash val="solid"/>
                      <a:miter/>
                      <a:headEnd type="none" w="med" len="med"/>
                      <a:tailEnd type="none" w="med" len="med"/>
                    </a:ln>
                  </pic:spPr>
                </pic:pic>
              </a:graphicData>
            </a:graphic>
          </wp:anchor>
        </w:drawing>
      </w:r>
      <w:r>
        <w:rPr>
          <w:b/>
          <w:color w:val="000000"/>
          <w:sz w:val="24"/>
          <w:lang w:val="zh-CN"/>
        </w:rPr>
        <w:t>图</w:t>
      </w:r>
      <w:r>
        <w:rPr>
          <w:b/>
          <w:color w:val="000000"/>
          <w:sz w:val="24"/>
        </w:rPr>
        <w:t>3-</w:t>
      </w:r>
      <w:r>
        <w:rPr>
          <w:b/>
          <w:color w:val="000000"/>
          <w:sz w:val="24"/>
          <w:lang w:val="zh-CN"/>
        </w:rPr>
        <w:t>1</w:t>
      </w:r>
      <w:r>
        <w:rPr>
          <w:b/>
          <w:color w:val="000000"/>
          <w:sz w:val="24"/>
        </w:rPr>
        <w:t>项目区</w:t>
      </w:r>
      <w:r>
        <w:rPr>
          <w:b/>
          <w:color w:val="000000"/>
          <w:sz w:val="24"/>
          <w:lang w:val="zh-CN"/>
        </w:rPr>
        <w:t>地理位置图</w:t>
      </w:r>
      <w:r>
        <mc:AlternateContent>
          <mc:Choice Requires="wps">
            <w:drawing>
              <wp:anchor distT="0" distB="0" distL="114300" distR="114300" simplePos="0" relativeHeight="251661312" behindDoc="0" locked="0" layoutInCell="1" allowOverlap="1">
                <wp:simplePos x="0" y="0"/>
                <wp:positionH relativeFrom="column">
                  <wp:posOffset>5367655</wp:posOffset>
                </wp:positionH>
                <wp:positionV relativeFrom="paragraph">
                  <wp:posOffset>1450340</wp:posOffset>
                </wp:positionV>
                <wp:extent cx="549910" cy="375920"/>
                <wp:effectExtent l="0" t="0" r="0" b="0"/>
                <wp:wrapNone/>
                <wp:docPr id="53" name="文本框 313"/>
                <wp:cNvGraphicFramePr/>
                <a:graphic xmlns:a="http://schemas.openxmlformats.org/drawingml/2006/main">
                  <a:graphicData uri="http://schemas.microsoft.com/office/word/2010/wordprocessingShape">
                    <wps:wsp>
                      <wps:cNvSpPr txBox="1"/>
                      <wps:spPr>
                        <a:xfrm>
                          <a:off x="0" y="0"/>
                          <a:ext cx="549910" cy="375920"/>
                        </a:xfrm>
                        <a:prstGeom prst="rect">
                          <a:avLst/>
                        </a:prstGeom>
                        <a:noFill/>
                        <a:ln w="9525">
                          <a:noFill/>
                        </a:ln>
                        <a:effectLst/>
                      </wps:spPr>
                      <wps:txbx>
                        <w:txbxContent>
                          <w:p>
                            <w:pPr>
                              <w:rPr>
                                <w:sz w:val="21"/>
                                <w:szCs w:val="20"/>
                              </w:rPr>
                            </w:pPr>
                          </w:p>
                        </w:txbxContent>
                      </wps:txbx>
                      <wps:bodyPr wrap="square" upright="1"/>
                    </wps:wsp>
                  </a:graphicData>
                </a:graphic>
              </wp:anchor>
            </w:drawing>
          </mc:Choice>
          <mc:Fallback>
            <w:pict>
              <v:shape id="文本框 313" o:spid="_x0000_s1026" o:spt="202" type="#_x0000_t202" style="position:absolute;left:0pt;margin-left:422.65pt;margin-top:114.2pt;height:29.6pt;width:43.3pt;z-index:251661312;mso-width-relative:page;mso-height-relative:page;" filled="f" stroked="f" coordsize="21600,21600" o:gfxdata="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z23E9kAAAALAQAADwAAAAAAAAABACAAAAAiAAAAZHJzL2Rv&#10;d25yZXYueG1sUEsBAhQAFAAAAAgAh07iQH3HyEDHAQAAdQMAAA4AAAAAAAAAAQAgAAAAKAEAAGRy&#10;cy9lMm9Eb2MueG1sUEsFBgAAAAAGAAYAWQEAAGEFAAAAAA==&#10;">
                <v:fill on="f" focussize="0,0"/>
                <v:stroke on="f"/>
                <v:imagedata o:title=""/>
                <o:lock v:ext="edit" aspectratio="f"/>
                <v:textbox>
                  <w:txbxContent>
                    <w:p>
                      <w:pPr>
                        <w:rPr>
                          <w:sz w:val="21"/>
                          <w:szCs w:val="20"/>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-186055</wp:posOffset>
                </wp:positionH>
                <wp:positionV relativeFrom="paragraph">
                  <wp:posOffset>1558925</wp:posOffset>
                </wp:positionV>
                <wp:extent cx="455295" cy="375920"/>
                <wp:effectExtent l="0" t="0" r="0" b="0"/>
                <wp:wrapNone/>
                <wp:docPr id="56" name="文本框 446"/>
                <wp:cNvGraphicFramePr/>
                <a:graphic xmlns:a="http://schemas.openxmlformats.org/drawingml/2006/main">
                  <a:graphicData uri="http://schemas.microsoft.com/office/word/2010/wordprocessingShape">
                    <wps:wsp>
                      <wps:cNvSpPr txBox="1"/>
                      <wps:spPr>
                        <a:xfrm>
                          <a:off x="0" y="0"/>
                          <a:ext cx="455295" cy="375920"/>
                        </a:xfrm>
                        <a:prstGeom prst="rect">
                          <a:avLst/>
                        </a:prstGeom>
                        <a:noFill/>
                        <a:ln w="9525">
                          <a:noFill/>
                        </a:ln>
                        <a:effectLst/>
                      </wps:spPr>
                      <wps:txbx>
                        <w:txbxContent>
                          <w:p>
                            <w:pPr>
                              <w:rPr>
                                <w:sz w:val="21"/>
                                <w:szCs w:val="20"/>
                              </w:rPr>
                            </w:pPr>
                          </w:p>
                        </w:txbxContent>
                      </wps:txbx>
                      <wps:bodyPr wrap="square" upright="1"/>
                    </wps:wsp>
                  </a:graphicData>
                </a:graphic>
              </wp:anchor>
            </w:drawing>
          </mc:Choice>
          <mc:Fallback>
            <w:pict>
              <v:shape id="文本框 446" o:spid="_x0000_s1026" o:spt="202" type="#_x0000_t202" style="position:absolute;left:0pt;margin-left:-14.65pt;margin-top:122.75pt;height:29.6pt;width:35.85pt;z-index:251664384;mso-width-relative:page;mso-height-relative:page;" filled="f" stroked="f" coordsize="21600,21600" o:gfxdata="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LWzo9gAAAAKAQAADwAAAAAAAAABACAAAAAiAAAAZHJzL2Rv&#10;d25yZXYueG1sUEsBAhQAFAAAAAgAh07iQPesA2jIAQAAdQMAAA4AAAAAAAAAAQAgAAAAJwEAAGRy&#10;cy9lMm9Eb2MueG1sUEsFBgAAAAAGAAYAWQEAAGEFAAAAAA==&#10;">
                <v:fill on="f" focussize="0,0"/>
                <v:stroke on="f"/>
                <v:imagedata o:title=""/>
                <o:lock v:ext="edit" aspectratio="f"/>
                <v:textbox>
                  <w:txbxContent>
                    <w:p>
                      <w:pPr>
                        <w:rPr>
                          <w:sz w:val="21"/>
                          <w:szCs w:val="20"/>
                        </w:rPr>
                      </w:pPr>
                    </w:p>
                  </w:txbxContent>
                </v:textbox>
              </v:shape>
            </w:pict>
          </mc:Fallback>
        </mc:AlternateContent>
      </w:r>
    </w:p>
    <w:p>
      <w:pPr>
        <w:adjustRightInd w:val="0"/>
        <w:snapToGrid w:val="0"/>
        <w:jc w:val="center"/>
        <w:rPr>
          <w:b/>
          <w:bCs/>
          <w:color w:val="000000"/>
          <w:sz w:val="24"/>
        </w:rPr>
        <w:sectPr>
          <w:pgSz w:w="16838" w:h="11906" w:orient="landscape"/>
          <w:pgMar w:top="1520" w:right="1440" w:bottom="1426" w:left="1440" w:header="851" w:footer="992" w:gutter="0"/>
          <w:cols w:space="720" w:num="1"/>
          <w:docGrid w:type="lines" w:linePitch="312" w:charSpace="0"/>
        </w:sectPr>
      </w:pPr>
      <w:r>
        <w:rPr>
          <w:sz w:val="24"/>
        </w:rPr>
        <mc:AlternateContent>
          <mc:Choice Requires="wps">
            <w:drawing>
              <wp:anchor distT="0" distB="0" distL="114300" distR="114300" simplePos="0" relativeHeight="251669504" behindDoc="0" locked="0" layoutInCell="1" allowOverlap="1">
                <wp:simplePos x="0" y="0"/>
                <wp:positionH relativeFrom="column">
                  <wp:posOffset>14605</wp:posOffset>
                </wp:positionH>
                <wp:positionV relativeFrom="paragraph">
                  <wp:posOffset>5020945</wp:posOffset>
                </wp:positionV>
                <wp:extent cx="8733155" cy="636270"/>
                <wp:effectExtent l="0" t="0" r="0" b="0"/>
                <wp:wrapNone/>
                <wp:docPr id="6" name="文本框 1033"/>
                <wp:cNvGraphicFramePr/>
                <a:graphic xmlns:a="http://schemas.openxmlformats.org/drawingml/2006/main">
                  <a:graphicData uri="http://schemas.microsoft.com/office/word/2010/wordprocessingShape">
                    <wps:wsp>
                      <wps:cNvSpPr txBox="1"/>
                      <wps:spPr>
                        <a:xfrm>
                          <a:off x="0" y="0"/>
                          <a:ext cx="8733155" cy="636270"/>
                        </a:xfrm>
                        <a:prstGeom prst="rect">
                          <a:avLst/>
                        </a:prstGeom>
                        <a:noFill/>
                        <a:ln w="6350">
                          <a:noFill/>
                        </a:ln>
                      </wps:spPr>
                      <wps:txbx>
                        <w:txbxContent>
                          <w:p>
                            <w:pPr>
                              <w:adjustRightInd w:val="0"/>
                              <w:snapToGrid w:val="0"/>
                              <w:jc w:val="both"/>
                              <w:rPr>
                                <w:rFonts w:hint="eastAsia"/>
                                <w:b/>
                                <w:bCs/>
                                <w:sz w:val="22"/>
                                <w:szCs w:val="22"/>
                                <w:lang w:val="en-US" w:eastAsia="zh-CN"/>
                              </w:rPr>
                            </w:pPr>
                            <w:r>
                              <w:rPr>
                                <w:rFonts w:hint="eastAsia"/>
                                <w:b/>
                                <w:bCs/>
                                <w:sz w:val="22"/>
                                <w:szCs w:val="22"/>
                                <w:lang w:val="en-US" w:eastAsia="zh-CN"/>
                              </w:rPr>
                              <w:t>注：红字为新建部分</w:t>
                            </w:r>
                          </w:p>
                          <w:p>
                            <w:pPr>
                              <w:adjustRightInd w:val="0"/>
                              <w:snapToGrid w:val="0"/>
                              <w:jc w:val="center"/>
                            </w:pPr>
                            <w:r>
                              <w:rPr>
                                <w:b/>
                                <w:bCs/>
                                <w:sz w:val="24"/>
                              </w:rPr>
                              <w:t>图3-2 厂区总平面布置图</w:t>
                            </w:r>
                          </w:p>
                        </w:txbxContent>
                      </wps:txbx>
                      <wps:bodyPr upright="1"/>
                    </wps:wsp>
                  </a:graphicData>
                </a:graphic>
              </wp:anchor>
            </w:drawing>
          </mc:Choice>
          <mc:Fallback>
            <w:pict>
              <v:shape id="文本框 1033" o:spid="_x0000_s1026" o:spt="202" type="#_x0000_t202" style="position:absolute;left:0pt;margin-left:1.15pt;margin-top:395.35pt;height:50.1pt;width:687.65pt;z-index:251669504;mso-width-relative:page;mso-height-relative:page;" filled="f" stroked="f" coordsize="21600,21600" o:gfxdata="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iit02wAAAAoBAAAPAAAAAAAAAAEAIAAAACIAAABkcnMvZG93bnJldi54bWxQSwEC&#10;FAAUAAAACACHTuJAOLyhHLgBAABaAwAADgAAAAAAAAABACAAAAAqAQAAZHJzL2Uyb0RvYy54bWxQ&#10;SwUGAAAAAAYABgBZAQAAVAUAAAAA&#10;">
                <v:fill on="f" focussize="0,0"/>
                <v:stroke on="f" weight="0.5pt"/>
                <v:imagedata o:title=""/>
                <o:lock v:ext="edit" aspectratio="f"/>
                <v:textbox>
                  <w:txbxContent>
                    <w:p>
                      <w:pPr>
                        <w:adjustRightInd w:val="0"/>
                        <w:snapToGrid w:val="0"/>
                        <w:jc w:val="both"/>
                        <w:rPr>
                          <w:rFonts w:hint="eastAsia"/>
                          <w:b/>
                          <w:bCs/>
                          <w:sz w:val="22"/>
                          <w:szCs w:val="22"/>
                          <w:lang w:val="en-US" w:eastAsia="zh-CN"/>
                        </w:rPr>
                      </w:pPr>
                      <w:r>
                        <w:rPr>
                          <w:rFonts w:hint="eastAsia"/>
                          <w:b/>
                          <w:bCs/>
                          <w:sz w:val="22"/>
                          <w:szCs w:val="22"/>
                          <w:lang w:val="en-US" w:eastAsia="zh-CN"/>
                        </w:rPr>
                        <w:t>注：红字为新建部分</w:t>
                      </w:r>
                    </w:p>
                    <w:p>
                      <w:pPr>
                        <w:adjustRightInd w:val="0"/>
                        <w:snapToGrid w:val="0"/>
                        <w:jc w:val="center"/>
                      </w:pPr>
                      <w:r>
                        <w:rPr>
                          <w:b/>
                          <w:bCs/>
                          <w:sz w:val="24"/>
                        </w:rPr>
                        <w:t>图3-2 厂区总平面布置图</w:t>
                      </w:r>
                    </w:p>
                  </w:txbxContent>
                </v:textbox>
              </v:shape>
            </w:pict>
          </mc:Fallback>
        </mc:AlternateContent>
      </w:r>
      <w:r>
        <w:rPr>
          <w:sz w:val="24"/>
        </w:rPr>
        <w:drawing>
          <wp:anchor distT="0" distB="0" distL="114300" distR="114300" simplePos="0" relativeHeight="251674624" behindDoc="0" locked="0" layoutInCell="1" allowOverlap="1">
            <wp:simplePos x="0" y="0"/>
            <wp:positionH relativeFrom="column">
              <wp:posOffset>7897495</wp:posOffset>
            </wp:positionH>
            <wp:positionV relativeFrom="paragraph">
              <wp:posOffset>668655</wp:posOffset>
            </wp:positionV>
            <wp:extent cx="1047115" cy="1004570"/>
            <wp:effectExtent l="19050" t="19050" r="19685" b="24130"/>
            <wp:wrapNone/>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30"/>
                    <a:stretch>
                      <a:fillRect/>
                    </a:stretch>
                  </pic:blipFill>
                  <pic:spPr>
                    <a:xfrm>
                      <a:off x="0" y="0"/>
                      <a:ext cx="1047115" cy="1004570"/>
                    </a:xfrm>
                    <a:prstGeom prst="rect">
                      <a:avLst/>
                    </a:prstGeom>
                    <a:noFill/>
                    <a:ln w="19050" cap="flat" cmpd="sng">
                      <a:solidFill>
                        <a:srgbClr val="FFFFFF"/>
                      </a:solidFill>
                      <a:prstDash val="solid"/>
                      <a:miter/>
                      <a:headEnd type="none" w="med" len="med"/>
                      <a:tailEnd type="none" w="med" len="med"/>
                    </a:ln>
                  </pic:spPr>
                </pic:pic>
              </a:graphicData>
            </a:graphic>
          </wp:anchor>
        </w:drawing>
      </w:r>
      <w:r>
        <w:rPr>
          <w:sz w:val="24"/>
        </w:rPr>
        <w:drawing>
          <wp:inline distT="0" distB="0" distL="114300" distR="114300">
            <wp:extent cx="8848090" cy="5371465"/>
            <wp:effectExtent l="0" t="0" r="10160" b="635"/>
            <wp:docPr id="7" name="图片 7" descr="基本流程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基本流程图 (1)"/>
                    <pic:cNvPicPr>
                      <a:picLocks noChangeAspect="1"/>
                    </pic:cNvPicPr>
                  </pic:nvPicPr>
                  <pic:blipFill>
                    <a:blip r:embed="rId31"/>
                    <a:stretch>
                      <a:fillRect/>
                    </a:stretch>
                  </pic:blipFill>
                  <pic:spPr>
                    <a:xfrm>
                      <a:off x="0" y="0"/>
                      <a:ext cx="8848090" cy="5371465"/>
                    </a:xfrm>
                    <a:prstGeom prst="rect">
                      <a:avLst/>
                    </a:prstGeom>
                  </pic:spPr>
                </pic:pic>
              </a:graphicData>
            </a:graphic>
          </wp:inline>
        </w:drawing>
      </w:r>
    </w:p>
    <w:p>
      <w:pPr>
        <w:pStyle w:val="4"/>
        <w:spacing w:line="600" w:lineRule="auto"/>
        <w:rPr>
          <w:color w:val="000000"/>
          <w:sz w:val="32"/>
          <w:szCs w:val="36"/>
          <w:lang w:val="zh-CN"/>
        </w:rPr>
      </w:pPr>
      <w:bookmarkStart w:id="66" w:name="_Toc17664"/>
      <w:bookmarkStart w:id="67" w:name="_Toc8604"/>
      <w:bookmarkStart w:id="68" w:name="_Toc17451"/>
      <w:bookmarkStart w:id="69" w:name="_Toc24706"/>
      <w:bookmarkStart w:id="70" w:name="_Toc32062"/>
      <w:bookmarkStart w:id="71" w:name="_Toc28457"/>
      <w:bookmarkStart w:id="72" w:name="_Toc21480"/>
      <w:r>
        <w:rPr>
          <w:rFonts w:hint="eastAsia"/>
          <w:color w:val="000000"/>
          <w:sz w:val="32"/>
          <w:szCs w:val="36"/>
        </w:rPr>
        <w:t>3.3</w:t>
      </w:r>
      <w:r>
        <w:rPr>
          <w:color w:val="000000"/>
          <w:sz w:val="32"/>
          <w:szCs w:val="36"/>
        </w:rPr>
        <w:t>主要</w:t>
      </w:r>
      <w:r>
        <w:rPr>
          <w:color w:val="000000"/>
          <w:sz w:val="32"/>
          <w:szCs w:val="36"/>
          <w:lang w:val="zh-CN"/>
        </w:rPr>
        <w:t>设备</w:t>
      </w:r>
      <w:bookmarkEnd w:id="66"/>
      <w:bookmarkEnd w:id="67"/>
      <w:bookmarkEnd w:id="68"/>
      <w:bookmarkEnd w:id="69"/>
      <w:bookmarkEnd w:id="70"/>
    </w:p>
    <w:p>
      <w:pPr>
        <w:pStyle w:val="18"/>
        <w:ind w:firstLine="480"/>
        <w:rPr>
          <w:spacing w:val="8"/>
          <w:sz w:val="28"/>
        </w:rPr>
      </w:pPr>
      <w:r>
        <w:rPr>
          <w:spacing w:val="8"/>
          <w:sz w:val="28"/>
        </w:rPr>
        <w:t>本项目主要</w:t>
      </w:r>
      <w:r>
        <w:rPr>
          <w:rFonts w:hint="eastAsia"/>
          <w:spacing w:val="8"/>
          <w:sz w:val="28"/>
        </w:rPr>
        <w:t>技改</w:t>
      </w:r>
      <w:r>
        <w:rPr>
          <w:spacing w:val="8"/>
          <w:sz w:val="28"/>
        </w:rPr>
        <w:t>设备及参数详见表3-</w:t>
      </w:r>
      <w:r>
        <w:rPr>
          <w:rFonts w:hint="eastAsia"/>
          <w:spacing w:val="8"/>
          <w:sz w:val="28"/>
        </w:rPr>
        <w:t>2</w:t>
      </w:r>
      <w:r>
        <w:rPr>
          <w:spacing w:val="8"/>
          <w:sz w:val="28"/>
        </w:rPr>
        <w:t>。</w:t>
      </w:r>
      <w:bookmarkStart w:id="73" w:name="_Toc32610"/>
    </w:p>
    <w:p>
      <w:pPr>
        <w:pStyle w:val="18"/>
        <w:ind w:firstLine="480"/>
        <w:rPr>
          <w:b/>
          <w:bCs/>
          <w:color w:val="000000"/>
        </w:rPr>
      </w:pPr>
      <w:r>
        <w:rPr>
          <w:rFonts w:hint="eastAsia"/>
          <w:b/>
          <w:bCs/>
          <w:color w:val="000000"/>
        </w:rPr>
        <w:t>表</w:t>
      </w:r>
      <w:r>
        <w:rPr>
          <w:b/>
          <w:bCs/>
          <w:color w:val="000000"/>
        </w:rPr>
        <w:t>3-</w:t>
      </w:r>
      <w:r>
        <w:rPr>
          <w:rFonts w:hint="eastAsia"/>
          <w:b/>
          <w:bCs/>
          <w:color w:val="000000"/>
        </w:rPr>
        <w:t>2                   技改主要新增设备</w:t>
      </w:r>
    </w:p>
    <w:bookmarkEnd w:id="73"/>
    <w:tbl>
      <w:tblPr>
        <w:tblStyle w:val="41"/>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7"/>
        <w:gridCol w:w="5312"/>
        <w:gridCol w:w="867"/>
        <w:gridCol w:w="833"/>
        <w:gridCol w:w="7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Align w:val="center"/>
          </w:tcPr>
          <w:p>
            <w:pPr>
              <w:spacing w:line="240" w:lineRule="auto"/>
              <w:jc w:val="center"/>
              <w:rPr>
                <w:sz w:val="24"/>
                <w:szCs w:val="21"/>
              </w:rPr>
            </w:pPr>
            <w:r>
              <w:rPr>
                <w:rFonts w:hint="eastAsia"/>
                <w:sz w:val="24"/>
                <w:szCs w:val="21"/>
              </w:rPr>
              <w:t>序号</w:t>
            </w:r>
          </w:p>
        </w:tc>
        <w:tc>
          <w:tcPr>
            <w:tcW w:w="5312" w:type="dxa"/>
            <w:vAlign w:val="center"/>
          </w:tcPr>
          <w:p>
            <w:pPr>
              <w:spacing w:line="240" w:lineRule="auto"/>
              <w:jc w:val="center"/>
              <w:rPr>
                <w:sz w:val="24"/>
                <w:szCs w:val="21"/>
              </w:rPr>
            </w:pPr>
            <w:r>
              <w:rPr>
                <w:rFonts w:hint="eastAsia"/>
                <w:sz w:val="24"/>
                <w:szCs w:val="21"/>
              </w:rPr>
              <w:t>名称</w:t>
            </w:r>
          </w:p>
        </w:tc>
        <w:tc>
          <w:tcPr>
            <w:tcW w:w="867" w:type="dxa"/>
            <w:vAlign w:val="center"/>
          </w:tcPr>
          <w:p>
            <w:pPr>
              <w:spacing w:line="240" w:lineRule="auto"/>
              <w:jc w:val="center"/>
              <w:rPr>
                <w:sz w:val="24"/>
                <w:szCs w:val="21"/>
              </w:rPr>
            </w:pPr>
            <w:r>
              <w:rPr>
                <w:rFonts w:hint="eastAsia"/>
                <w:sz w:val="24"/>
                <w:szCs w:val="21"/>
              </w:rPr>
              <w:t>单位</w:t>
            </w:r>
          </w:p>
        </w:tc>
        <w:tc>
          <w:tcPr>
            <w:tcW w:w="833" w:type="dxa"/>
            <w:vAlign w:val="center"/>
          </w:tcPr>
          <w:p>
            <w:pPr>
              <w:spacing w:line="240" w:lineRule="auto"/>
              <w:jc w:val="center"/>
              <w:rPr>
                <w:sz w:val="24"/>
                <w:szCs w:val="21"/>
              </w:rPr>
            </w:pPr>
            <w:r>
              <w:rPr>
                <w:rFonts w:hint="eastAsia"/>
                <w:sz w:val="24"/>
                <w:szCs w:val="21"/>
              </w:rPr>
              <w:t>数量</w:t>
            </w:r>
          </w:p>
        </w:tc>
        <w:tc>
          <w:tcPr>
            <w:tcW w:w="753" w:type="dxa"/>
            <w:vAlign w:val="center"/>
          </w:tcPr>
          <w:p>
            <w:pPr>
              <w:spacing w:line="240" w:lineRule="auto"/>
              <w:jc w:val="center"/>
              <w:rPr>
                <w:bCs/>
                <w:sz w:val="24"/>
                <w:szCs w:val="21"/>
              </w:rPr>
            </w:pPr>
            <w:r>
              <w:rPr>
                <w:rFonts w:hint="eastAsia"/>
                <w:bCs/>
                <w:sz w:val="24"/>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Align w:val="center"/>
          </w:tcPr>
          <w:p>
            <w:pPr>
              <w:spacing w:line="240" w:lineRule="auto"/>
              <w:jc w:val="center"/>
              <w:rPr>
                <w:sz w:val="24"/>
                <w:szCs w:val="21"/>
              </w:rPr>
            </w:pPr>
            <w:r>
              <w:rPr>
                <w:rFonts w:hint="eastAsia"/>
                <w:sz w:val="24"/>
                <w:szCs w:val="21"/>
              </w:rPr>
              <w:t>1</w:t>
            </w:r>
          </w:p>
        </w:tc>
        <w:tc>
          <w:tcPr>
            <w:tcW w:w="5312" w:type="dxa"/>
            <w:vAlign w:val="center"/>
          </w:tcPr>
          <w:p>
            <w:pPr>
              <w:spacing w:line="240" w:lineRule="auto"/>
              <w:jc w:val="center"/>
              <w:rPr>
                <w:sz w:val="24"/>
                <w:szCs w:val="21"/>
              </w:rPr>
            </w:pPr>
            <w:r>
              <w:rPr>
                <w:rFonts w:hint="eastAsia"/>
                <w:sz w:val="24"/>
                <w:szCs w:val="21"/>
              </w:rPr>
              <w:t>改性纤维球过滤器φ2.4m滤罐6座及其配套设施</w:t>
            </w:r>
          </w:p>
        </w:tc>
        <w:tc>
          <w:tcPr>
            <w:tcW w:w="867" w:type="dxa"/>
            <w:vAlign w:val="center"/>
          </w:tcPr>
          <w:p>
            <w:pPr>
              <w:spacing w:line="240" w:lineRule="auto"/>
              <w:jc w:val="center"/>
              <w:rPr>
                <w:sz w:val="24"/>
                <w:szCs w:val="21"/>
              </w:rPr>
            </w:pPr>
            <w:r>
              <w:rPr>
                <w:rFonts w:hint="eastAsia"/>
                <w:sz w:val="24"/>
                <w:szCs w:val="21"/>
              </w:rPr>
              <w:t>套</w:t>
            </w:r>
          </w:p>
        </w:tc>
        <w:tc>
          <w:tcPr>
            <w:tcW w:w="833" w:type="dxa"/>
            <w:vAlign w:val="center"/>
          </w:tcPr>
          <w:p>
            <w:pPr>
              <w:spacing w:line="240" w:lineRule="auto"/>
              <w:jc w:val="center"/>
              <w:rPr>
                <w:sz w:val="24"/>
                <w:szCs w:val="21"/>
              </w:rPr>
            </w:pPr>
            <w:r>
              <w:rPr>
                <w:rFonts w:hint="eastAsia"/>
                <w:sz w:val="24"/>
                <w:szCs w:val="21"/>
              </w:rPr>
              <w:t>1</w:t>
            </w:r>
          </w:p>
        </w:tc>
        <w:tc>
          <w:tcPr>
            <w:tcW w:w="753" w:type="dxa"/>
            <w:vMerge w:val="restart"/>
            <w:vAlign w:val="center"/>
          </w:tcPr>
          <w:p>
            <w:pPr>
              <w:spacing w:line="240" w:lineRule="auto"/>
              <w:jc w:val="center"/>
              <w:rPr>
                <w:bCs/>
                <w:sz w:val="24"/>
                <w:szCs w:val="21"/>
              </w:rPr>
            </w:pPr>
            <w:r>
              <w:rPr>
                <w:rFonts w:hint="eastAsia"/>
                <w:bCs/>
                <w:sz w:val="24"/>
                <w:szCs w:val="21"/>
              </w:rPr>
              <w:t>新增</w:t>
            </w:r>
          </w:p>
          <w:p>
            <w:pPr>
              <w:spacing w:line="240" w:lineRule="auto"/>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Align w:val="center"/>
          </w:tcPr>
          <w:p>
            <w:pPr>
              <w:spacing w:line="240" w:lineRule="auto"/>
              <w:jc w:val="center"/>
              <w:rPr>
                <w:sz w:val="24"/>
                <w:szCs w:val="21"/>
              </w:rPr>
            </w:pPr>
            <w:r>
              <w:rPr>
                <w:rFonts w:hint="eastAsia"/>
                <w:sz w:val="24"/>
                <w:szCs w:val="21"/>
              </w:rPr>
              <w:t>2</w:t>
            </w:r>
          </w:p>
        </w:tc>
        <w:tc>
          <w:tcPr>
            <w:tcW w:w="5312" w:type="dxa"/>
            <w:vAlign w:val="center"/>
          </w:tcPr>
          <w:p>
            <w:pPr>
              <w:spacing w:line="240" w:lineRule="auto"/>
              <w:jc w:val="center"/>
              <w:rPr>
                <w:sz w:val="24"/>
                <w:szCs w:val="21"/>
              </w:rPr>
            </w:pPr>
            <w:r>
              <w:rPr>
                <w:rFonts w:hint="eastAsia"/>
                <w:sz w:val="24"/>
                <w:szCs w:val="21"/>
              </w:rPr>
              <w:t>隔油池配套安装（含刮泥机等设施）</w:t>
            </w:r>
          </w:p>
        </w:tc>
        <w:tc>
          <w:tcPr>
            <w:tcW w:w="867" w:type="dxa"/>
            <w:vAlign w:val="center"/>
          </w:tcPr>
          <w:p>
            <w:pPr>
              <w:spacing w:line="240" w:lineRule="auto"/>
              <w:jc w:val="center"/>
              <w:rPr>
                <w:sz w:val="24"/>
                <w:szCs w:val="21"/>
              </w:rPr>
            </w:pPr>
            <w:r>
              <w:rPr>
                <w:rFonts w:hint="eastAsia"/>
                <w:sz w:val="24"/>
                <w:szCs w:val="21"/>
              </w:rPr>
              <w:t>套</w:t>
            </w:r>
          </w:p>
        </w:tc>
        <w:tc>
          <w:tcPr>
            <w:tcW w:w="833" w:type="dxa"/>
            <w:vAlign w:val="center"/>
          </w:tcPr>
          <w:p>
            <w:pPr>
              <w:spacing w:line="240" w:lineRule="auto"/>
              <w:jc w:val="center"/>
              <w:rPr>
                <w:sz w:val="24"/>
                <w:szCs w:val="21"/>
              </w:rPr>
            </w:pPr>
            <w:r>
              <w:rPr>
                <w:rFonts w:hint="eastAsia"/>
                <w:sz w:val="24"/>
                <w:szCs w:val="21"/>
              </w:rPr>
              <w:t>1</w:t>
            </w:r>
          </w:p>
        </w:tc>
        <w:tc>
          <w:tcPr>
            <w:tcW w:w="753" w:type="dxa"/>
            <w:vMerge w:val="continue"/>
            <w:vAlign w:val="center"/>
          </w:tcPr>
          <w:p>
            <w:pPr>
              <w:spacing w:line="240" w:lineRule="auto"/>
              <w:jc w:val="center"/>
              <w:rPr>
                <w:bCs/>
                <w:sz w:val="24"/>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Align w:val="center"/>
          </w:tcPr>
          <w:p>
            <w:pPr>
              <w:spacing w:line="240" w:lineRule="auto"/>
              <w:jc w:val="center"/>
              <w:rPr>
                <w:sz w:val="24"/>
                <w:szCs w:val="21"/>
              </w:rPr>
            </w:pPr>
            <w:r>
              <w:rPr>
                <w:rFonts w:hint="eastAsia"/>
                <w:sz w:val="24"/>
                <w:szCs w:val="21"/>
              </w:rPr>
              <w:t>3</w:t>
            </w:r>
          </w:p>
        </w:tc>
        <w:tc>
          <w:tcPr>
            <w:tcW w:w="5312" w:type="dxa"/>
            <w:vAlign w:val="center"/>
          </w:tcPr>
          <w:p>
            <w:pPr>
              <w:spacing w:line="240" w:lineRule="auto"/>
              <w:jc w:val="center"/>
              <w:rPr>
                <w:sz w:val="24"/>
                <w:szCs w:val="21"/>
              </w:rPr>
            </w:pPr>
            <w:r>
              <w:rPr>
                <w:rFonts w:hint="eastAsia"/>
                <w:sz w:val="24"/>
                <w:szCs w:val="21"/>
              </w:rPr>
              <w:t>调节池配套设施安装（曝气系统）</w:t>
            </w:r>
          </w:p>
        </w:tc>
        <w:tc>
          <w:tcPr>
            <w:tcW w:w="867" w:type="dxa"/>
            <w:vAlign w:val="center"/>
          </w:tcPr>
          <w:p>
            <w:pPr>
              <w:spacing w:line="240" w:lineRule="auto"/>
              <w:jc w:val="center"/>
              <w:rPr>
                <w:sz w:val="24"/>
                <w:szCs w:val="21"/>
              </w:rPr>
            </w:pPr>
            <w:r>
              <w:rPr>
                <w:rFonts w:hint="eastAsia"/>
                <w:sz w:val="24"/>
                <w:szCs w:val="21"/>
              </w:rPr>
              <w:t>套</w:t>
            </w:r>
          </w:p>
        </w:tc>
        <w:tc>
          <w:tcPr>
            <w:tcW w:w="833" w:type="dxa"/>
            <w:vAlign w:val="center"/>
          </w:tcPr>
          <w:p>
            <w:pPr>
              <w:spacing w:line="240" w:lineRule="auto"/>
              <w:jc w:val="center"/>
              <w:rPr>
                <w:sz w:val="24"/>
                <w:szCs w:val="21"/>
              </w:rPr>
            </w:pPr>
            <w:r>
              <w:rPr>
                <w:rFonts w:hint="eastAsia"/>
                <w:sz w:val="24"/>
                <w:szCs w:val="21"/>
              </w:rPr>
              <w:t>1</w:t>
            </w:r>
          </w:p>
        </w:tc>
        <w:tc>
          <w:tcPr>
            <w:tcW w:w="753" w:type="dxa"/>
            <w:vMerge w:val="continue"/>
            <w:vAlign w:val="center"/>
          </w:tcPr>
          <w:p>
            <w:pPr>
              <w:spacing w:line="240" w:lineRule="auto"/>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Align w:val="center"/>
          </w:tcPr>
          <w:p>
            <w:pPr>
              <w:spacing w:line="240" w:lineRule="auto"/>
              <w:jc w:val="center"/>
              <w:rPr>
                <w:sz w:val="24"/>
                <w:szCs w:val="21"/>
              </w:rPr>
            </w:pPr>
            <w:r>
              <w:rPr>
                <w:rFonts w:hint="eastAsia"/>
                <w:sz w:val="24"/>
                <w:szCs w:val="21"/>
              </w:rPr>
              <w:t>4</w:t>
            </w:r>
          </w:p>
        </w:tc>
        <w:tc>
          <w:tcPr>
            <w:tcW w:w="5312" w:type="dxa"/>
            <w:vAlign w:val="center"/>
          </w:tcPr>
          <w:p>
            <w:pPr>
              <w:spacing w:line="240" w:lineRule="auto"/>
              <w:jc w:val="center"/>
              <w:rPr>
                <w:sz w:val="24"/>
                <w:szCs w:val="21"/>
                <w:vertAlign w:val="superscript"/>
              </w:rPr>
            </w:pPr>
            <w:r>
              <w:rPr>
                <w:rFonts w:hint="eastAsia"/>
                <w:sz w:val="24"/>
                <w:szCs w:val="21"/>
              </w:rPr>
              <w:t>微生物反应池安装900m</w:t>
            </w:r>
            <w:r>
              <w:rPr>
                <w:rFonts w:hint="eastAsia"/>
                <w:sz w:val="24"/>
                <w:szCs w:val="21"/>
                <w:vertAlign w:val="superscript"/>
              </w:rPr>
              <w:t>3</w:t>
            </w:r>
          </w:p>
          <w:p>
            <w:pPr>
              <w:spacing w:line="240" w:lineRule="auto"/>
              <w:jc w:val="center"/>
              <w:rPr>
                <w:sz w:val="24"/>
                <w:szCs w:val="21"/>
              </w:rPr>
            </w:pPr>
            <w:r>
              <w:rPr>
                <w:rFonts w:hint="eastAsia"/>
                <w:sz w:val="24"/>
                <w:szCs w:val="21"/>
              </w:rPr>
              <w:t>（含微生物菌种及营养剂）</w:t>
            </w:r>
          </w:p>
        </w:tc>
        <w:tc>
          <w:tcPr>
            <w:tcW w:w="867" w:type="dxa"/>
            <w:vAlign w:val="center"/>
          </w:tcPr>
          <w:p>
            <w:pPr>
              <w:spacing w:line="240" w:lineRule="auto"/>
              <w:jc w:val="center"/>
              <w:rPr>
                <w:sz w:val="24"/>
                <w:szCs w:val="21"/>
              </w:rPr>
            </w:pPr>
            <w:r>
              <w:rPr>
                <w:rFonts w:hint="eastAsia"/>
                <w:sz w:val="24"/>
                <w:szCs w:val="21"/>
              </w:rPr>
              <w:t>套</w:t>
            </w:r>
          </w:p>
        </w:tc>
        <w:tc>
          <w:tcPr>
            <w:tcW w:w="833" w:type="dxa"/>
            <w:vAlign w:val="center"/>
          </w:tcPr>
          <w:p>
            <w:pPr>
              <w:spacing w:line="240" w:lineRule="auto"/>
              <w:jc w:val="center"/>
              <w:rPr>
                <w:sz w:val="24"/>
                <w:szCs w:val="21"/>
              </w:rPr>
            </w:pPr>
            <w:r>
              <w:rPr>
                <w:rFonts w:hint="eastAsia"/>
                <w:sz w:val="24"/>
                <w:szCs w:val="21"/>
              </w:rPr>
              <w:t>2</w:t>
            </w:r>
          </w:p>
        </w:tc>
        <w:tc>
          <w:tcPr>
            <w:tcW w:w="753" w:type="dxa"/>
            <w:vMerge w:val="continue"/>
            <w:vAlign w:val="center"/>
          </w:tcPr>
          <w:p>
            <w:pPr>
              <w:spacing w:line="240" w:lineRule="auto"/>
              <w:jc w:val="center"/>
              <w:rPr>
                <w:bCs/>
                <w:sz w:val="24"/>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Align w:val="center"/>
          </w:tcPr>
          <w:p>
            <w:pPr>
              <w:spacing w:line="240" w:lineRule="auto"/>
              <w:jc w:val="center"/>
              <w:rPr>
                <w:sz w:val="24"/>
                <w:szCs w:val="21"/>
              </w:rPr>
            </w:pPr>
            <w:r>
              <w:rPr>
                <w:rFonts w:hint="eastAsia"/>
                <w:sz w:val="24"/>
                <w:szCs w:val="21"/>
              </w:rPr>
              <w:t>5</w:t>
            </w:r>
          </w:p>
        </w:tc>
        <w:tc>
          <w:tcPr>
            <w:tcW w:w="5312" w:type="dxa"/>
            <w:vAlign w:val="center"/>
          </w:tcPr>
          <w:p>
            <w:pPr>
              <w:spacing w:line="240" w:lineRule="auto"/>
              <w:jc w:val="center"/>
              <w:rPr>
                <w:sz w:val="24"/>
                <w:szCs w:val="21"/>
              </w:rPr>
            </w:pPr>
            <w:r>
              <w:rPr>
                <w:rFonts w:hint="eastAsia"/>
                <w:sz w:val="24"/>
                <w:szCs w:val="21"/>
              </w:rPr>
              <w:t>斜板沉淀池安装250m</w:t>
            </w:r>
            <w:r>
              <w:rPr>
                <w:rFonts w:hint="eastAsia"/>
                <w:sz w:val="24"/>
                <w:szCs w:val="21"/>
                <w:vertAlign w:val="superscript"/>
              </w:rPr>
              <w:t>3</w:t>
            </w:r>
          </w:p>
        </w:tc>
        <w:tc>
          <w:tcPr>
            <w:tcW w:w="867" w:type="dxa"/>
            <w:vAlign w:val="center"/>
          </w:tcPr>
          <w:p>
            <w:pPr>
              <w:spacing w:line="240" w:lineRule="auto"/>
              <w:jc w:val="center"/>
              <w:rPr>
                <w:sz w:val="24"/>
                <w:szCs w:val="21"/>
              </w:rPr>
            </w:pPr>
            <w:r>
              <w:rPr>
                <w:rFonts w:hint="eastAsia"/>
                <w:sz w:val="24"/>
                <w:szCs w:val="21"/>
              </w:rPr>
              <w:t>座</w:t>
            </w:r>
          </w:p>
        </w:tc>
        <w:tc>
          <w:tcPr>
            <w:tcW w:w="833" w:type="dxa"/>
            <w:vAlign w:val="center"/>
          </w:tcPr>
          <w:p>
            <w:pPr>
              <w:spacing w:line="240" w:lineRule="auto"/>
              <w:jc w:val="center"/>
              <w:rPr>
                <w:sz w:val="24"/>
                <w:szCs w:val="21"/>
              </w:rPr>
            </w:pPr>
            <w:r>
              <w:rPr>
                <w:rFonts w:hint="eastAsia"/>
                <w:sz w:val="24"/>
                <w:szCs w:val="21"/>
              </w:rPr>
              <w:t>2</w:t>
            </w:r>
          </w:p>
        </w:tc>
        <w:tc>
          <w:tcPr>
            <w:tcW w:w="753" w:type="dxa"/>
            <w:vMerge w:val="continue"/>
            <w:vAlign w:val="center"/>
          </w:tcPr>
          <w:p>
            <w:pPr>
              <w:spacing w:line="240" w:lineRule="auto"/>
              <w:jc w:val="center"/>
              <w:rPr>
                <w:bCs/>
                <w:sz w:val="24"/>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Align w:val="center"/>
          </w:tcPr>
          <w:p>
            <w:pPr>
              <w:spacing w:line="240" w:lineRule="auto"/>
              <w:jc w:val="center"/>
              <w:rPr>
                <w:sz w:val="24"/>
                <w:szCs w:val="21"/>
              </w:rPr>
            </w:pPr>
            <w:r>
              <w:rPr>
                <w:rFonts w:hint="eastAsia"/>
                <w:sz w:val="24"/>
                <w:szCs w:val="21"/>
              </w:rPr>
              <w:t>6</w:t>
            </w:r>
          </w:p>
        </w:tc>
        <w:tc>
          <w:tcPr>
            <w:tcW w:w="5312" w:type="dxa"/>
            <w:vAlign w:val="center"/>
          </w:tcPr>
          <w:p>
            <w:pPr>
              <w:spacing w:line="240" w:lineRule="auto"/>
              <w:jc w:val="center"/>
              <w:rPr>
                <w:sz w:val="24"/>
                <w:szCs w:val="21"/>
              </w:rPr>
            </w:pPr>
            <w:r>
              <w:rPr>
                <w:rFonts w:hint="eastAsia"/>
                <w:sz w:val="24"/>
                <w:szCs w:val="21"/>
              </w:rPr>
              <w:t>一级提升泵（化工离心泵）</w:t>
            </w:r>
          </w:p>
          <w:p>
            <w:pPr>
              <w:spacing w:line="240" w:lineRule="auto"/>
              <w:jc w:val="center"/>
              <w:rPr>
                <w:sz w:val="24"/>
                <w:szCs w:val="21"/>
              </w:rPr>
            </w:pPr>
            <w:r>
              <w:rPr>
                <w:rFonts w:hint="eastAsia"/>
                <w:sz w:val="24"/>
                <w:szCs w:val="21"/>
              </w:rPr>
              <w:t>Q=143m</w:t>
            </w:r>
            <w:r>
              <w:rPr>
                <w:rFonts w:hint="eastAsia"/>
                <w:sz w:val="24"/>
                <w:szCs w:val="21"/>
                <w:vertAlign w:val="superscript"/>
              </w:rPr>
              <w:t>3</w:t>
            </w:r>
            <w:r>
              <w:rPr>
                <w:rFonts w:hint="eastAsia"/>
                <w:sz w:val="24"/>
                <w:szCs w:val="21"/>
              </w:rPr>
              <w:t>/h，h=10m，P=7.5kW</w:t>
            </w:r>
          </w:p>
        </w:tc>
        <w:tc>
          <w:tcPr>
            <w:tcW w:w="867" w:type="dxa"/>
            <w:vAlign w:val="center"/>
          </w:tcPr>
          <w:p>
            <w:pPr>
              <w:spacing w:line="240" w:lineRule="auto"/>
              <w:jc w:val="center"/>
              <w:rPr>
                <w:sz w:val="24"/>
                <w:szCs w:val="21"/>
              </w:rPr>
            </w:pPr>
            <w:r>
              <w:rPr>
                <w:rFonts w:hint="eastAsia"/>
                <w:sz w:val="24"/>
                <w:szCs w:val="21"/>
              </w:rPr>
              <w:t>台</w:t>
            </w:r>
          </w:p>
        </w:tc>
        <w:tc>
          <w:tcPr>
            <w:tcW w:w="833" w:type="dxa"/>
            <w:vAlign w:val="center"/>
          </w:tcPr>
          <w:p>
            <w:pPr>
              <w:spacing w:line="240" w:lineRule="auto"/>
              <w:jc w:val="center"/>
              <w:rPr>
                <w:sz w:val="24"/>
                <w:szCs w:val="21"/>
              </w:rPr>
            </w:pPr>
            <w:r>
              <w:rPr>
                <w:rFonts w:hint="eastAsia"/>
                <w:sz w:val="24"/>
                <w:szCs w:val="21"/>
              </w:rPr>
              <w:t>2</w:t>
            </w:r>
          </w:p>
        </w:tc>
        <w:tc>
          <w:tcPr>
            <w:tcW w:w="753" w:type="dxa"/>
            <w:vMerge w:val="continue"/>
            <w:vAlign w:val="center"/>
          </w:tcPr>
          <w:p>
            <w:pPr>
              <w:spacing w:line="240" w:lineRule="auto"/>
              <w:jc w:val="center"/>
              <w:rPr>
                <w:bCs/>
                <w:sz w:val="24"/>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Align w:val="center"/>
          </w:tcPr>
          <w:p>
            <w:pPr>
              <w:spacing w:line="240" w:lineRule="auto"/>
              <w:jc w:val="center"/>
              <w:rPr>
                <w:sz w:val="24"/>
                <w:szCs w:val="21"/>
              </w:rPr>
            </w:pPr>
            <w:r>
              <w:rPr>
                <w:rFonts w:hint="eastAsia"/>
                <w:sz w:val="24"/>
                <w:szCs w:val="21"/>
              </w:rPr>
              <w:t>7</w:t>
            </w:r>
          </w:p>
        </w:tc>
        <w:tc>
          <w:tcPr>
            <w:tcW w:w="5312" w:type="dxa"/>
            <w:vAlign w:val="center"/>
          </w:tcPr>
          <w:p>
            <w:pPr>
              <w:spacing w:line="240" w:lineRule="auto"/>
              <w:jc w:val="center"/>
              <w:rPr>
                <w:sz w:val="24"/>
                <w:szCs w:val="21"/>
              </w:rPr>
            </w:pPr>
            <w:r>
              <w:rPr>
                <w:rFonts w:hint="eastAsia"/>
                <w:sz w:val="24"/>
                <w:szCs w:val="21"/>
              </w:rPr>
              <w:t>污油回收泵（化工离心泵）</w:t>
            </w:r>
          </w:p>
          <w:p>
            <w:pPr>
              <w:spacing w:line="240" w:lineRule="auto"/>
              <w:jc w:val="center"/>
              <w:rPr>
                <w:sz w:val="24"/>
                <w:szCs w:val="21"/>
              </w:rPr>
            </w:pPr>
            <w:r>
              <w:rPr>
                <w:rFonts w:hint="eastAsia"/>
                <w:sz w:val="24"/>
                <w:szCs w:val="21"/>
              </w:rPr>
              <w:t>Q=43.3m</w:t>
            </w:r>
            <w:r>
              <w:rPr>
                <w:rFonts w:hint="eastAsia"/>
                <w:sz w:val="24"/>
                <w:szCs w:val="21"/>
                <w:vertAlign w:val="superscript"/>
              </w:rPr>
              <w:t>3</w:t>
            </w:r>
            <w:r>
              <w:rPr>
                <w:rFonts w:hint="eastAsia"/>
                <w:sz w:val="24"/>
                <w:szCs w:val="21"/>
              </w:rPr>
              <w:t>/h h=60m P=15kW</w:t>
            </w:r>
          </w:p>
        </w:tc>
        <w:tc>
          <w:tcPr>
            <w:tcW w:w="867" w:type="dxa"/>
            <w:vAlign w:val="center"/>
          </w:tcPr>
          <w:p>
            <w:pPr>
              <w:spacing w:line="240" w:lineRule="auto"/>
              <w:jc w:val="center"/>
              <w:rPr>
                <w:sz w:val="24"/>
                <w:szCs w:val="21"/>
              </w:rPr>
            </w:pPr>
            <w:r>
              <w:rPr>
                <w:rFonts w:hint="eastAsia"/>
                <w:sz w:val="24"/>
                <w:szCs w:val="21"/>
              </w:rPr>
              <w:t>台</w:t>
            </w:r>
          </w:p>
        </w:tc>
        <w:tc>
          <w:tcPr>
            <w:tcW w:w="833" w:type="dxa"/>
            <w:vAlign w:val="center"/>
          </w:tcPr>
          <w:p>
            <w:pPr>
              <w:spacing w:line="240" w:lineRule="auto"/>
              <w:jc w:val="center"/>
              <w:rPr>
                <w:sz w:val="24"/>
                <w:szCs w:val="21"/>
              </w:rPr>
            </w:pPr>
            <w:r>
              <w:rPr>
                <w:rFonts w:hint="eastAsia"/>
                <w:sz w:val="24"/>
                <w:szCs w:val="21"/>
              </w:rPr>
              <w:t>1</w:t>
            </w:r>
          </w:p>
        </w:tc>
        <w:tc>
          <w:tcPr>
            <w:tcW w:w="753" w:type="dxa"/>
            <w:vMerge w:val="continue"/>
            <w:vAlign w:val="center"/>
          </w:tcPr>
          <w:p>
            <w:pPr>
              <w:spacing w:line="240" w:lineRule="auto"/>
              <w:jc w:val="center"/>
              <w:rPr>
                <w:bCs/>
                <w:sz w:val="24"/>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Align w:val="center"/>
          </w:tcPr>
          <w:p>
            <w:pPr>
              <w:spacing w:line="240" w:lineRule="auto"/>
              <w:jc w:val="center"/>
              <w:rPr>
                <w:sz w:val="24"/>
                <w:szCs w:val="21"/>
              </w:rPr>
            </w:pPr>
            <w:r>
              <w:rPr>
                <w:rFonts w:hint="eastAsia"/>
                <w:sz w:val="24"/>
                <w:szCs w:val="21"/>
              </w:rPr>
              <w:t>8</w:t>
            </w:r>
          </w:p>
        </w:tc>
        <w:tc>
          <w:tcPr>
            <w:tcW w:w="5312" w:type="dxa"/>
            <w:vAlign w:val="center"/>
          </w:tcPr>
          <w:p>
            <w:pPr>
              <w:spacing w:line="240" w:lineRule="auto"/>
              <w:jc w:val="center"/>
              <w:rPr>
                <w:sz w:val="24"/>
                <w:szCs w:val="21"/>
              </w:rPr>
            </w:pPr>
            <w:r>
              <w:rPr>
                <w:rFonts w:hint="eastAsia"/>
                <w:sz w:val="24"/>
                <w:szCs w:val="21"/>
              </w:rPr>
              <w:t>过滤提升泵（化工离心泵）</w:t>
            </w:r>
          </w:p>
          <w:p>
            <w:pPr>
              <w:spacing w:line="240" w:lineRule="auto"/>
              <w:jc w:val="center"/>
              <w:rPr>
                <w:sz w:val="24"/>
                <w:szCs w:val="21"/>
              </w:rPr>
            </w:pPr>
            <w:r>
              <w:rPr>
                <w:rFonts w:hint="eastAsia"/>
                <w:sz w:val="24"/>
                <w:szCs w:val="21"/>
              </w:rPr>
              <w:t>Q=150m</w:t>
            </w:r>
            <w:r>
              <w:rPr>
                <w:rFonts w:hint="eastAsia"/>
                <w:sz w:val="24"/>
                <w:szCs w:val="21"/>
                <w:vertAlign w:val="superscript"/>
              </w:rPr>
              <w:t>3</w:t>
            </w:r>
            <w:r>
              <w:rPr>
                <w:rFonts w:hint="eastAsia"/>
                <w:sz w:val="24"/>
                <w:szCs w:val="21"/>
              </w:rPr>
              <w:t>/h，h=44m，P=30kW</w:t>
            </w:r>
          </w:p>
        </w:tc>
        <w:tc>
          <w:tcPr>
            <w:tcW w:w="867" w:type="dxa"/>
            <w:vAlign w:val="center"/>
          </w:tcPr>
          <w:p>
            <w:pPr>
              <w:spacing w:line="240" w:lineRule="auto"/>
              <w:jc w:val="center"/>
              <w:rPr>
                <w:sz w:val="24"/>
                <w:szCs w:val="21"/>
              </w:rPr>
            </w:pPr>
            <w:r>
              <w:rPr>
                <w:rFonts w:hint="eastAsia"/>
                <w:sz w:val="24"/>
                <w:szCs w:val="21"/>
              </w:rPr>
              <w:t>台</w:t>
            </w:r>
          </w:p>
        </w:tc>
        <w:tc>
          <w:tcPr>
            <w:tcW w:w="833" w:type="dxa"/>
            <w:vAlign w:val="center"/>
          </w:tcPr>
          <w:p>
            <w:pPr>
              <w:spacing w:line="240" w:lineRule="auto"/>
              <w:jc w:val="center"/>
              <w:rPr>
                <w:sz w:val="24"/>
                <w:szCs w:val="21"/>
              </w:rPr>
            </w:pPr>
            <w:r>
              <w:rPr>
                <w:rFonts w:hint="eastAsia"/>
                <w:sz w:val="24"/>
                <w:szCs w:val="21"/>
              </w:rPr>
              <w:t>2</w:t>
            </w:r>
          </w:p>
        </w:tc>
        <w:tc>
          <w:tcPr>
            <w:tcW w:w="753" w:type="dxa"/>
            <w:vMerge w:val="continue"/>
            <w:vAlign w:val="center"/>
          </w:tcPr>
          <w:p>
            <w:pPr>
              <w:spacing w:line="240" w:lineRule="auto"/>
              <w:jc w:val="center"/>
              <w:rPr>
                <w:bCs/>
                <w:sz w:val="24"/>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Align w:val="center"/>
          </w:tcPr>
          <w:p>
            <w:pPr>
              <w:spacing w:line="240" w:lineRule="auto"/>
              <w:jc w:val="center"/>
              <w:rPr>
                <w:sz w:val="24"/>
                <w:szCs w:val="21"/>
              </w:rPr>
            </w:pPr>
            <w:r>
              <w:rPr>
                <w:rFonts w:hint="eastAsia"/>
                <w:sz w:val="24"/>
                <w:szCs w:val="21"/>
              </w:rPr>
              <w:t>9</w:t>
            </w:r>
          </w:p>
        </w:tc>
        <w:tc>
          <w:tcPr>
            <w:tcW w:w="5312" w:type="dxa"/>
            <w:vAlign w:val="center"/>
          </w:tcPr>
          <w:p>
            <w:pPr>
              <w:spacing w:line="240" w:lineRule="auto"/>
              <w:jc w:val="center"/>
              <w:rPr>
                <w:sz w:val="24"/>
                <w:szCs w:val="21"/>
              </w:rPr>
            </w:pPr>
            <w:r>
              <w:rPr>
                <w:rFonts w:hint="eastAsia"/>
                <w:sz w:val="24"/>
                <w:szCs w:val="21"/>
              </w:rPr>
              <w:t>喂水泵（化工离心泵）</w:t>
            </w:r>
          </w:p>
          <w:p>
            <w:pPr>
              <w:spacing w:line="240" w:lineRule="auto"/>
              <w:jc w:val="center"/>
              <w:rPr>
                <w:sz w:val="24"/>
                <w:szCs w:val="21"/>
              </w:rPr>
            </w:pPr>
            <w:r>
              <w:rPr>
                <w:rFonts w:hint="eastAsia"/>
                <w:sz w:val="24"/>
                <w:szCs w:val="21"/>
              </w:rPr>
              <w:t>Q=150m</w:t>
            </w:r>
            <w:r>
              <w:rPr>
                <w:rFonts w:hint="eastAsia"/>
                <w:sz w:val="24"/>
                <w:szCs w:val="21"/>
                <w:vertAlign w:val="superscript"/>
              </w:rPr>
              <w:t>3</w:t>
            </w:r>
            <w:r>
              <w:rPr>
                <w:rFonts w:hint="eastAsia"/>
                <w:sz w:val="24"/>
                <w:szCs w:val="21"/>
              </w:rPr>
              <w:t>/h，h=44m，P=30kW</w:t>
            </w:r>
          </w:p>
        </w:tc>
        <w:tc>
          <w:tcPr>
            <w:tcW w:w="867" w:type="dxa"/>
            <w:vAlign w:val="center"/>
          </w:tcPr>
          <w:p>
            <w:pPr>
              <w:spacing w:line="240" w:lineRule="auto"/>
              <w:jc w:val="center"/>
              <w:rPr>
                <w:sz w:val="24"/>
                <w:szCs w:val="21"/>
              </w:rPr>
            </w:pPr>
            <w:r>
              <w:rPr>
                <w:rFonts w:hint="eastAsia"/>
                <w:sz w:val="24"/>
                <w:szCs w:val="21"/>
              </w:rPr>
              <w:t>台</w:t>
            </w:r>
          </w:p>
        </w:tc>
        <w:tc>
          <w:tcPr>
            <w:tcW w:w="833" w:type="dxa"/>
            <w:vAlign w:val="center"/>
          </w:tcPr>
          <w:p>
            <w:pPr>
              <w:spacing w:line="240" w:lineRule="auto"/>
              <w:jc w:val="center"/>
              <w:rPr>
                <w:sz w:val="24"/>
                <w:szCs w:val="21"/>
              </w:rPr>
            </w:pPr>
            <w:r>
              <w:rPr>
                <w:rFonts w:hint="eastAsia"/>
                <w:sz w:val="24"/>
                <w:szCs w:val="21"/>
              </w:rPr>
              <w:t>2</w:t>
            </w:r>
          </w:p>
        </w:tc>
        <w:tc>
          <w:tcPr>
            <w:tcW w:w="753" w:type="dxa"/>
            <w:vMerge w:val="continue"/>
            <w:vAlign w:val="center"/>
          </w:tcPr>
          <w:p>
            <w:pPr>
              <w:spacing w:line="240" w:lineRule="auto"/>
              <w:jc w:val="center"/>
              <w:rPr>
                <w:bCs/>
                <w:sz w:val="24"/>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Align w:val="center"/>
          </w:tcPr>
          <w:p>
            <w:pPr>
              <w:spacing w:line="240" w:lineRule="auto"/>
              <w:jc w:val="center"/>
              <w:rPr>
                <w:sz w:val="24"/>
                <w:szCs w:val="21"/>
              </w:rPr>
            </w:pPr>
            <w:r>
              <w:rPr>
                <w:rFonts w:hint="eastAsia"/>
                <w:sz w:val="24"/>
                <w:szCs w:val="21"/>
              </w:rPr>
              <w:t>10</w:t>
            </w:r>
          </w:p>
        </w:tc>
        <w:tc>
          <w:tcPr>
            <w:tcW w:w="5312" w:type="dxa"/>
            <w:vAlign w:val="center"/>
          </w:tcPr>
          <w:p>
            <w:pPr>
              <w:spacing w:line="240" w:lineRule="auto"/>
              <w:jc w:val="center"/>
              <w:rPr>
                <w:sz w:val="24"/>
                <w:szCs w:val="21"/>
              </w:rPr>
            </w:pPr>
            <w:r>
              <w:rPr>
                <w:rFonts w:hint="eastAsia"/>
                <w:sz w:val="24"/>
                <w:szCs w:val="21"/>
              </w:rPr>
              <w:t>污泥泵（化工离心泵）</w:t>
            </w:r>
          </w:p>
          <w:p>
            <w:pPr>
              <w:spacing w:line="240" w:lineRule="auto"/>
              <w:jc w:val="center"/>
              <w:rPr>
                <w:sz w:val="24"/>
                <w:szCs w:val="21"/>
              </w:rPr>
            </w:pPr>
            <w:r>
              <w:rPr>
                <w:rFonts w:hint="eastAsia"/>
                <w:sz w:val="24"/>
                <w:szCs w:val="21"/>
              </w:rPr>
              <w:t>Q=12.5m</w:t>
            </w:r>
            <w:r>
              <w:rPr>
                <w:rFonts w:hint="eastAsia"/>
                <w:sz w:val="24"/>
                <w:szCs w:val="21"/>
                <w:vertAlign w:val="superscript"/>
              </w:rPr>
              <w:t>3</w:t>
            </w:r>
            <w:r>
              <w:rPr>
                <w:rFonts w:hint="eastAsia"/>
                <w:sz w:val="24"/>
                <w:szCs w:val="21"/>
              </w:rPr>
              <w:t>/h，h=50m，P=5.5kW</w:t>
            </w:r>
          </w:p>
        </w:tc>
        <w:tc>
          <w:tcPr>
            <w:tcW w:w="867" w:type="dxa"/>
            <w:vAlign w:val="center"/>
          </w:tcPr>
          <w:p>
            <w:pPr>
              <w:spacing w:line="240" w:lineRule="auto"/>
              <w:jc w:val="center"/>
              <w:rPr>
                <w:sz w:val="24"/>
                <w:szCs w:val="21"/>
              </w:rPr>
            </w:pPr>
            <w:r>
              <w:rPr>
                <w:rFonts w:hint="eastAsia"/>
                <w:sz w:val="24"/>
                <w:szCs w:val="21"/>
              </w:rPr>
              <w:t>台</w:t>
            </w:r>
          </w:p>
        </w:tc>
        <w:tc>
          <w:tcPr>
            <w:tcW w:w="833" w:type="dxa"/>
            <w:vAlign w:val="center"/>
          </w:tcPr>
          <w:p>
            <w:pPr>
              <w:spacing w:line="240" w:lineRule="auto"/>
              <w:jc w:val="center"/>
              <w:rPr>
                <w:sz w:val="24"/>
                <w:szCs w:val="21"/>
              </w:rPr>
            </w:pPr>
            <w:r>
              <w:rPr>
                <w:rFonts w:hint="eastAsia"/>
                <w:sz w:val="24"/>
                <w:szCs w:val="21"/>
              </w:rPr>
              <w:t>2</w:t>
            </w:r>
          </w:p>
        </w:tc>
        <w:tc>
          <w:tcPr>
            <w:tcW w:w="753" w:type="dxa"/>
            <w:vMerge w:val="continue"/>
            <w:vAlign w:val="center"/>
          </w:tcPr>
          <w:p>
            <w:pPr>
              <w:spacing w:line="240" w:lineRule="auto"/>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Align w:val="center"/>
          </w:tcPr>
          <w:p>
            <w:pPr>
              <w:spacing w:line="240" w:lineRule="auto"/>
              <w:jc w:val="center"/>
              <w:rPr>
                <w:sz w:val="24"/>
                <w:szCs w:val="21"/>
              </w:rPr>
            </w:pPr>
            <w:r>
              <w:rPr>
                <w:rFonts w:hint="eastAsia"/>
                <w:sz w:val="24"/>
                <w:szCs w:val="21"/>
              </w:rPr>
              <w:t>11</w:t>
            </w:r>
          </w:p>
        </w:tc>
        <w:tc>
          <w:tcPr>
            <w:tcW w:w="5312" w:type="dxa"/>
            <w:vAlign w:val="center"/>
          </w:tcPr>
          <w:p>
            <w:pPr>
              <w:spacing w:line="240" w:lineRule="auto"/>
              <w:jc w:val="center"/>
              <w:rPr>
                <w:sz w:val="24"/>
                <w:szCs w:val="21"/>
              </w:rPr>
            </w:pPr>
            <w:r>
              <w:rPr>
                <w:rFonts w:hint="eastAsia"/>
                <w:sz w:val="24"/>
                <w:szCs w:val="21"/>
              </w:rPr>
              <w:t>隔膜计量加药泵GM0170 0.25kW</w:t>
            </w:r>
          </w:p>
        </w:tc>
        <w:tc>
          <w:tcPr>
            <w:tcW w:w="867" w:type="dxa"/>
            <w:vAlign w:val="center"/>
          </w:tcPr>
          <w:p>
            <w:pPr>
              <w:spacing w:line="240" w:lineRule="auto"/>
              <w:jc w:val="center"/>
              <w:rPr>
                <w:sz w:val="24"/>
                <w:szCs w:val="21"/>
              </w:rPr>
            </w:pPr>
            <w:r>
              <w:rPr>
                <w:rFonts w:hint="eastAsia"/>
                <w:sz w:val="24"/>
                <w:szCs w:val="21"/>
              </w:rPr>
              <w:t>台</w:t>
            </w:r>
          </w:p>
        </w:tc>
        <w:tc>
          <w:tcPr>
            <w:tcW w:w="833" w:type="dxa"/>
            <w:vAlign w:val="center"/>
          </w:tcPr>
          <w:p>
            <w:pPr>
              <w:spacing w:line="240" w:lineRule="auto"/>
              <w:jc w:val="center"/>
              <w:rPr>
                <w:sz w:val="24"/>
                <w:szCs w:val="21"/>
              </w:rPr>
            </w:pPr>
            <w:r>
              <w:rPr>
                <w:rFonts w:hint="eastAsia"/>
                <w:sz w:val="24"/>
                <w:szCs w:val="21"/>
              </w:rPr>
              <w:t>12</w:t>
            </w:r>
          </w:p>
        </w:tc>
        <w:tc>
          <w:tcPr>
            <w:tcW w:w="753" w:type="dxa"/>
            <w:vMerge w:val="continue"/>
            <w:vAlign w:val="center"/>
          </w:tcPr>
          <w:p>
            <w:pPr>
              <w:spacing w:line="240" w:lineRule="auto"/>
              <w:jc w:val="center"/>
              <w:rPr>
                <w:bCs/>
                <w:sz w:val="24"/>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7" w:type="dxa"/>
            <w:vAlign w:val="center"/>
          </w:tcPr>
          <w:p>
            <w:pPr>
              <w:spacing w:line="240" w:lineRule="auto"/>
              <w:jc w:val="center"/>
              <w:rPr>
                <w:sz w:val="24"/>
                <w:szCs w:val="21"/>
              </w:rPr>
            </w:pPr>
            <w:r>
              <w:rPr>
                <w:rFonts w:hint="eastAsia"/>
                <w:sz w:val="24"/>
                <w:szCs w:val="21"/>
              </w:rPr>
              <w:t>12</w:t>
            </w:r>
          </w:p>
        </w:tc>
        <w:tc>
          <w:tcPr>
            <w:tcW w:w="5312" w:type="dxa"/>
            <w:vAlign w:val="center"/>
          </w:tcPr>
          <w:p>
            <w:pPr>
              <w:spacing w:line="240" w:lineRule="auto"/>
              <w:jc w:val="center"/>
              <w:rPr>
                <w:sz w:val="24"/>
                <w:szCs w:val="21"/>
              </w:rPr>
            </w:pPr>
            <w:r>
              <w:rPr>
                <w:rFonts w:hint="eastAsia"/>
                <w:sz w:val="24"/>
                <w:szCs w:val="21"/>
              </w:rPr>
              <w:t>罗茨鼓风机FTB-200 55kW</w:t>
            </w:r>
          </w:p>
        </w:tc>
        <w:tc>
          <w:tcPr>
            <w:tcW w:w="867" w:type="dxa"/>
            <w:vAlign w:val="center"/>
          </w:tcPr>
          <w:p>
            <w:pPr>
              <w:spacing w:line="240" w:lineRule="auto"/>
              <w:jc w:val="center"/>
              <w:rPr>
                <w:sz w:val="24"/>
                <w:szCs w:val="21"/>
              </w:rPr>
            </w:pPr>
            <w:r>
              <w:rPr>
                <w:rFonts w:hint="eastAsia"/>
                <w:sz w:val="24"/>
                <w:szCs w:val="21"/>
              </w:rPr>
              <w:t>台</w:t>
            </w:r>
          </w:p>
        </w:tc>
        <w:tc>
          <w:tcPr>
            <w:tcW w:w="833" w:type="dxa"/>
            <w:vAlign w:val="center"/>
          </w:tcPr>
          <w:p>
            <w:pPr>
              <w:spacing w:line="240" w:lineRule="auto"/>
              <w:jc w:val="center"/>
              <w:rPr>
                <w:sz w:val="24"/>
                <w:szCs w:val="21"/>
              </w:rPr>
            </w:pPr>
            <w:r>
              <w:rPr>
                <w:rFonts w:hint="eastAsia"/>
                <w:sz w:val="24"/>
                <w:szCs w:val="21"/>
              </w:rPr>
              <w:t>3</w:t>
            </w:r>
          </w:p>
        </w:tc>
        <w:tc>
          <w:tcPr>
            <w:tcW w:w="753" w:type="dxa"/>
            <w:vMerge w:val="continue"/>
            <w:vAlign w:val="center"/>
          </w:tcPr>
          <w:p>
            <w:pPr>
              <w:spacing w:line="240" w:lineRule="auto"/>
              <w:jc w:val="center"/>
              <w:rPr>
                <w:bCs/>
                <w:sz w:val="24"/>
                <w:szCs w:val="21"/>
              </w:rPr>
            </w:pPr>
          </w:p>
        </w:tc>
      </w:tr>
    </w:tbl>
    <w:p>
      <w:pPr>
        <w:pStyle w:val="4"/>
        <w:spacing w:line="600" w:lineRule="auto"/>
        <w:rPr>
          <w:color w:val="000000"/>
          <w:sz w:val="32"/>
        </w:rPr>
      </w:pPr>
      <w:bookmarkStart w:id="74" w:name="_Toc14495"/>
      <w:bookmarkStart w:id="75" w:name="_Toc13599"/>
      <w:r>
        <w:rPr>
          <w:rFonts w:hint="eastAsia"/>
          <w:color w:val="000000"/>
          <w:sz w:val="32"/>
        </w:rPr>
        <w:t>3.4原辅材料消耗表</w:t>
      </w:r>
      <w:bookmarkEnd w:id="74"/>
      <w:bookmarkEnd w:id="75"/>
    </w:p>
    <w:p>
      <w:pPr>
        <w:ind w:firstLine="560" w:firstLineChars="200"/>
        <w:rPr>
          <w:color w:val="000000"/>
        </w:rPr>
      </w:pPr>
      <w:r>
        <w:rPr>
          <w:rFonts w:hint="eastAsia"/>
          <w:color w:val="000000"/>
        </w:rPr>
        <w:t>采用原有已建6套加药装置投加各类水处理药剂，包括</w:t>
      </w:r>
      <w:r>
        <w:rPr>
          <w:szCs w:val="21"/>
        </w:rPr>
        <w:t>营养剂</w:t>
      </w:r>
      <w:r>
        <w:rPr>
          <w:rFonts w:hint="eastAsia"/>
          <w:szCs w:val="21"/>
        </w:rPr>
        <w:t>、</w:t>
      </w:r>
      <w:r>
        <w:rPr>
          <w:szCs w:val="21"/>
        </w:rPr>
        <w:t>脱氧剂</w:t>
      </w:r>
      <w:r>
        <w:rPr>
          <w:rFonts w:hint="eastAsia"/>
          <w:color w:val="000000"/>
        </w:rPr>
        <w:t>等材料，所有原辅料</w:t>
      </w:r>
      <w:r>
        <w:rPr>
          <w:color w:val="000000"/>
        </w:rPr>
        <w:t>由</w:t>
      </w:r>
      <w:r>
        <w:rPr>
          <w:rFonts w:hint="eastAsia"/>
          <w:color w:val="000000"/>
        </w:rPr>
        <w:t>中国石油吐哈油田</w:t>
      </w:r>
      <w:r>
        <w:rPr>
          <w:rFonts w:hint="eastAsia"/>
          <w:color w:val="000000"/>
          <w:lang w:eastAsia="zh-CN"/>
        </w:rPr>
        <w:t>吐鲁番采油管理区</w:t>
      </w:r>
      <w:r>
        <w:rPr>
          <w:color w:val="000000"/>
        </w:rPr>
        <w:t>统一采购。</w:t>
      </w:r>
      <w:r>
        <w:rPr>
          <w:rFonts w:hint="eastAsia"/>
          <w:color w:val="000000"/>
        </w:rPr>
        <w:t>具体</w:t>
      </w:r>
      <w:r>
        <w:rPr>
          <w:color w:val="000000"/>
        </w:rPr>
        <w:t>情况见表</w:t>
      </w:r>
      <w:r>
        <w:rPr>
          <w:rFonts w:hint="eastAsia"/>
          <w:color w:val="000000"/>
        </w:rPr>
        <w:t>3-3</w:t>
      </w:r>
      <w:r>
        <w:rPr>
          <w:color w:val="000000"/>
        </w:rPr>
        <w:t>。</w:t>
      </w:r>
    </w:p>
    <w:p>
      <w:pPr>
        <w:ind w:firstLine="482" w:firstLineChars="200"/>
        <w:rPr>
          <w:b/>
          <w:bCs/>
          <w:sz w:val="24"/>
        </w:rPr>
      </w:pPr>
      <w:r>
        <w:rPr>
          <w:b/>
          <w:bCs/>
          <w:sz w:val="24"/>
        </w:rPr>
        <w:t>表</w:t>
      </w:r>
      <w:r>
        <w:rPr>
          <w:rFonts w:hint="eastAsia"/>
          <w:b/>
          <w:bCs/>
          <w:sz w:val="24"/>
        </w:rPr>
        <w:t>3-3           主要原料、</w:t>
      </w:r>
      <w:r>
        <w:rPr>
          <w:b/>
          <w:bCs/>
          <w:sz w:val="24"/>
        </w:rPr>
        <w:t>辅助材料消耗一览表</w:t>
      </w:r>
    </w:p>
    <w:tbl>
      <w:tblPr>
        <w:tblStyle w:val="40"/>
        <w:tblW w:w="8522"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38"/>
        <w:gridCol w:w="3217"/>
        <w:gridCol w:w="2383"/>
        <w:gridCol w:w="2084"/>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8" w:type="dxa"/>
            <w:vAlign w:val="center"/>
          </w:tcPr>
          <w:p>
            <w:pPr>
              <w:kinsoku w:val="0"/>
              <w:spacing w:line="240" w:lineRule="auto"/>
              <w:jc w:val="center"/>
              <w:rPr>
                <w:sz w:val="24"/>
              </w:rPr>
            </w:pPr>
            <w:r>
              <w:rPr>
                <w:rFonts w:hint="eastAsia"/>
                <w:sz w:val="24"/>
              </w:rPr>
              <w:t>序号</w:t>
            </w:r>
          </w:p>
        </w:tc>
        <w:tc>
          <w:tcPr>
            <w:tcW w:w="3217" w:type="dxa"/>
            <w:vAlign w:val="center"/>
          </w:tcPr>
          <w:p>
            <w:pPr>
              <w:kinsoku w:val="0"/>
              <w:spacing w:line="240" w:lineRule="auto"/>
              <w:jc w:val="center"/>
              <w:rPr>
                <w:sz w:val="24"/>
              </w:rPr>
            </w:pPr>
            <w:r>
              <w:rPr>
                <w:sz w:val="24"/>
              </w:rPr>
              <w:t>物料名称</w:t>
            </w:r>
          </w:p>
        </w:tc>
        <w:tc>
          <w:tcPr>
            <w:tcW w:w="2383" w:type="dxa"/>
            <w:vAlign w:val="center"/>
          </w:tcPr>
          <w:p>
            <w:pPr>
              <w:kinsoku w:val="0"/>
              <w:spacing w:line="240" w:lineRule="auto"/>
              <w:jc w:val="center"/>
              <w:rPr>
                <w:sz w:val="24"/>
              </w:rPr>
            </w:pPr>
            <w:r>
              <w:rPr>
                <w:sz w:val="24"/>
              </w:rPr>
              <w:t>加药量(mg/L)</w:t>
            </w:r>
          </w:p>
        </w:tc>
        <w:tc>
          <w:tcPr>
            <w:tcW w:w="2084" w:type="dxa"/>
            <w:vAlign w:val="center"/>
          </w:tcPr>
          <w:p>
            <w:pPr>
              <w:kinsoku w:val="0"/>
              <w:spacing w:line="240" w:lineRule="auto"/>
              <w:jc w:val="center"/>
              <w:rPr>
                <w:sz w:val="24"/>
              </w:rPr>
            </w:pPr>
            <w:r>
              <w:rPr>
                <w:sz w:val="24"/>
              </w:rPr>
              <w:t>备注</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8" w:type="dxa"/>
            <w:vAlign w:val="center"/>
          </w:tcPr>
          <w:p>
            <w:pPr>
              <w:kinsoku w:val="0"/>
              <w:spacing w:line="240" w:lineRule="auto"/>
              <w:jc w:val="center"/>
              <w:rPr>
                <w:sz w:val="24"/>
              </w:rPr>
            </w:pPr>
            <w:r>
              <w:rPr>
                <w:rFonts w:hint="eastAsia"/>
                <w:sz w:val="24"/>
              </w:rPr>
              <w:t>1</w:t>
            </w:r>
          </w:p>
        </w:tc>
        <w:tc>
          <w:tcPr>
            <w:tcW w:w="3217" w:type="dxa"/>
            <w:vAlign w:val="center"/>
          </w:tcPr>
          <w:p>
            <w:pPr>
              <w:adjustRightInd w:val="0"/>
              <w:snapToGrid w:val="0"/>
              <w:spacing w:line="240" w:lineRule="auto"/>
              <w:jc w:val="center"/>
              <w:rPr>
                <w:sz w:val="24"/>
              </w:rPr>
            </w:pPr>
            <w:r>
              <w:rPr>
                <w:rFonts w:hint="eastAsia"/>
                <w:sz w:val="24"/>
              </w:rPr>
              <w:t>营养剂</w:t>
            </w:r>
          </w:p>
        </w:tc>
        <w:tc>
          <w:tcPr>
            <w:tcW w:w="2383" w:type="dxa"/>
            <w:vAlign w:val="center"/>
          </w:tcPr>
          <w:p>
            <w:pPr>
              <w:kinsoku w:val="0"/>
              <w:spacing w:line="240" w:lineRule="auto"/>
              <w:jc w:val="center"/>
              <w:rPr>
                <w:sz w:val="24"/>
              </w:rPr>
            </w:pPr>
            <w:r>
              <w:rPr>
                <w:sz w:val="24"/>
              </w:rPr>
              <w:t>6～10</w:t>
            </w:r>
          </w:p>
        </w:tc>
        <w:tc>
          <w:tcPr>
            <w:tcW w:w="2084" w:type="dxa"/>
            <w:vAlign w:val="center"/>
          </w:tcPr>
          <w:p>
            <w:pPr>
              <w:kinsoku w:val="0"/>
              <w:spacing w:line="240" w:lineRule="auto"/>
              <w:jc w:val="center"/>
              <w:rPr>
                <w:sz w:val="24"/>
              </w:rPr>
            </w:pPr>
            <w:r>
              <w:rPr>
                <w:sz w:val="24"/>
              </w:rPr>
              <w:t>生化反应池</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8" w:type="dxa"/>
            <w:vAlign w:val="center"/>
          </w:tcPr>
          <w:p>
            <w:pPr>
              <w:kinsoku w:val="0"/>
              <w:spacing w:line="240" w:lineRule="auto"/>
              <w:jc w:val="center"/>
              <w:rPr>
                <w:sz w:val="24"/>
              </w:rPr>
            </w:pPr>
            <w:r>
              <w:rPr>
                <w:rFonts w:hint="eastAsia"/>
                <w:sz w:val="24"/>
              </w:rPr>
              <w:t>2</w:t>
            </w:r>
          </w:p>
        </w:tc>
        <w:tc>
          <w:tcPr>
            <w:tcW w:w="3217" w:type="dxa"/>
            <w:vAlign w:val="center"/>
          </w:tcPr>
          <w:p>
            <w:pPr>
              <w:kinsoku w:val="0"/>
              <w:spacing w:line="240" w:lineRule="auto"/>
              <w:jc w:val="center"/>
              <w:rPr>
                <w:sz w:val="24"/>
              </w:rPr>
            </w:pPr>
            <w:r>
              <w:rPr>
                <w:rFonts w:hint="eastAsia"/>
                <w:sz w:val="24"/>
              </w:rPr>
              <w:t>PAC</w:t>
            </w:r>
          </w:p>
        </w:tc>
        <w:tc>
          <w:tcPr>
            <w:tcW w:w="2383" w:type="dxa"/>
            <w:vAlign w:val="center"/>
          </w:tcPr>
          <w:p>
            <w:pPr>
              <w:kinsoku w:val="0"/>
              <w:spacing w:line="240" w:lineRule="auto"/>
              <w:jc w:val="center"/>
              <w:rPr>
                <w:sz w:val="24"/>
              </w:rPr>
            </w:pPr>
            <w:r>
              <w:rPr>
                <w:sz w:val="24"/>
              </w:rPr>
              <w:t>6～10</w:t>
            </w:r>
          </w:p>
        </w:tc>
        <w:tc>
          <w:tcPr>
            <w:tcW w:w="2084" w:type="dxa"/>
            <w:vAlign w:val="center"/>
          </w:tcPr>
          <w:p>
            <w:pPr>
              <w:kinsoku w:val="0"/>
              <w:spacing w:line="240" w:lineRule="auto"/>
              <w:jc w:val="center"/>
              <w:rPr>
                <w:sz w:val="24"/>
              </w:rPr>
            </w:pPr>
            <w:r>
              <w:rPr>
                <w:sz w:val="24"/>
              </w:rPr>
              <w:t>沉淀池入口</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8" w:type="dxa"/>
            <w:vAlign w:val="center"/>
          </w:tcPr>
          <w:p>
            <w:pPr>
              <w:kinsoku w:val="0"/>
              <w:spacing w:line="240" w:lineRule="auto"/>
              <w:jc w:val="center"/>
              <w:rPr>
                <w:sz w:val="24"/>
              </w:rPr>
            </w:pPr>
            <w:r>
              <w:rPr>
                <w:rFonts w:hint="eastAsia"/>
                <w:sz w:val="24"/>
              </w:rPr>
              <w:t>3</w:t>
            </w:r>
          </w:p>
        </w:tc>
        <w:tc>
          <w:tcPr>
            <w:tcW w:w="3217" w:type="dxa"/>
            <w:vAlign w:val="center"/>
          </w:tcPr>
          <w:p>
            <w:pPr>
              <w:kinsoku w:val="0"/>
              <w:spacing w:line="240" w:lineRule="auto"/>
              <w:jc w:val="center"/>
              <w:rPr>
                <w:sz w:val="24"/>
              </w:rPr>
            </w:pPr>
            <w:r>
              <w:rPr>
                <w:rFonts w:hint="eastAsia"/>
                <w:sz w:val="24"/>
              </w:rPr>
              <w:t>PAM</w:t>
            </w:r>
          </w:p>
        </w:tc>
        <w:tc>
          <w:tcPr>
            <w:tcW w:w="2383" w:type="dxa"/>
            <w:vAlign w:val="center"/>
          </w:tcPr>
          <w:p>
            <w:pPr>
              <w:adjustRightInd w:val="0"/>
              <w:snapToGrid w:val="0"/>
              <w:spacing w:line="240" w:lineRule="auto"/>
              <w:jc w:val="center"/>
              <w:rPr>
                <w:color w:val="FF0000"/>
                <w:sz w:val="24"/>
              </w:rPr>
            </w:pPr>
            <w:r>
              <w:rPr>
                <w:sz w:val="24"/>
              </w:rPr>
              <w:t>5～8</w:t>
            </w:r>
          </w:p>
        </w:tc>
        <w:tc>
          <w:tcPr>
            <w:tcW w:w="2084" w:type="dxa"/>
            <w:vAlign w:val="center"/>
          </w:tcPr>
          <w:p>
            <w:pPr>
              <w:adjustRightInd w:val="0"/>
              <w:snapToGrid w:val="0"/>
              <w:spacing w:line="240" w:lineRule="auto"/>
              <w:jc w:val="center"/>
              <w:rPr>
                <w:color w:val="FF0000"/>
                <w:sz w:val="24"/>
              </w:rPr>
            </w:pPr>
            <w:r>
              <w:rPr>
                <w:sz w:val="24"/>
              </w:rPr>
              <w:t>沉淀池入口</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8" w:type="dxa"/>
            <w:vAlign w:val="center"/>
          </w:tcPr>
          <w:p>
            <w:pPr>
              <w:kinsoku w:val="0"/>
              <w:spacing w:line="240" w:lineRule="auto"/>
              <w:jc w:val="center"/>
              <w:rPr>
                <w:sz w:val="24"/>
              </w:rPr>
            </w:pPr>
            <w:r>
              <w:rPr>
                <w:rFonts w:hint="eastAsia"/>
                <w:sz w:val="24"/>
              </w:rPr>
              <w:t>4</w:t>
            </w:r>
          </w:p>
        </w:tc>
        <w:tc>
          <w:tcPr>
            <w:tcW w:w="3217" w:type="dxa"/>
            <w:vAlign w:val="center"/>
          </w:tcPr>
          <w:p>
            <w:pPr>
              <w:kinsoku w:val="0"/>
              <w:spacing w:line="240" w:lineRule="auto"/>
              <w:jc w:val="center"/>
              <w:rPr>
                <w:sz w:val="24"/>
              </w:rPr>
            </w:pPr>
            <w:r>
              <w:rPr>
                <w:rFonts w:hint="eastAsia"/>
                <w:sz w:val="24"/>
              </w:rPr>
              <w:t>脱氧剂</w:t>
            </w:r>
          </w:p>
        </w:tc>
        <w:tc>
          <w:tcPr>
            <w:tcW w:w="2383" w:type="dxa"/>
            <w:vAlign w:val="center"/>
          </w:tcPr>
          <w:p>
            <w:pPr>
              <w:adjustRightInd w:val="0"/>
              <w:snapToGrid w:val="0"/>
              <w:spacing w:line="240" w:lineRule="auto"/>
              <w:jc w:val="center"/>
              <w:rPr>
                <w:color w:val="FF0000"/>
                <w:sz w:val="24"/>
              </w:rPr>
            </w:pPr>
            <w:r>
              <w:rPr>
                <w:sz w:val="24"/>
              </w:rPr>
              <w:t>10～20</w:t>
            </w:r>
          </w:p>
        </w:tc>
        <w:tc>
          <w:tcPr>
            <w:tcW w:w="2084" w:type="dxa"/>
            <w:vAlign w:val="center"/>
          </w:tcPr>
          <w:p>
            <w:pPr>
              <w:adjustRightInd w:val="0"/>
              <w:snapToGrid w:val="0"/>
              <w:spacing w:line="240" w:lineRule="auto"/>
              <w:jc w:val="center"/>
              <w:rPr>
                <w:color w:val="FF0000"/>
                <w:sz w:val="24"/>
              </w:rPr>
            </w:pPr>
            <w:r>
              <w:rPr>
                <w:sz w:val="24"/>
              </w:rPr>
              <w:t>过滤器前</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8" w:type="dxa"/>
            <w:vAlign w:val="center"/>
          </w:tcPr>
          <w:p>
            <w:pPr>
              <w:kinsoku w:val="0"/>
              <w:spacing w:line="240" w:lineRule="auto"/>
              <w:jc w:val="center"/>
              <w:rPr>
                <w:sz w:val="24"/>
              </w:rPr>
            </w:pPr>
            <w:r>
              <w:rPr>
                <w:rFonts w:hint="eastAsia"/>
                <w:sz w:val="24"/>
              </w:rPr>
              <w:t>5</w:t>
            </w:r>
          </w:p>
        </w:tc>
        <w:tc>
          <w:tcPr>
            <w:tcW w:w="3217" w:type="dxa"/>
            <w:vAlign w:val="center"/>
          </w:tcPr>
          <w:p>
            <w:pPr>
              <w:kinsoku w:val="0"/>
              <w:spacing w:line="240" w:lineRule="auto"/>
              <w:jc w:val="center"/>
              <w:rPr>
                <w:sz w:val="24"/>
              </w:rPr>
            </w:pPr>
            <w:r>
              <w:rPr>
                <w:rFonts w:hint="eastAsia"/>
                <w:sz w:val="24"/>
              </w:rPr>
              <w:t>脱氧催化剂</w:t>
            </w:r>
          </w:p>
        </w:tc>
        <w:tc>
          <w:tcPr>
            <w:tcW w:w="2383" w:type="dxa"/>
            <w:vAlign w:val="center"/>
          </w:tcPr>
          <w:p>
            <w:pPr>
              <w:adjustRightInd w:val="0"/>
              <w:snapToGrid w:val="0"/>
              <w:spacing w:line="240" w:lineRule="auto"/>
              <w:jc w:val="center"/>
              <w:rPr>
                <w:color w:val="FF0000"/>
                <w:sz w:val="24"/>
              </w:rPr>
            </w:pPr>
            <w:r>
              <w:rPr>
                <w:sz w:val="24"/>
              </w:rPr>
              <w:t>7～13</w:t>
            </w:r>
          </w:p>
        </w:tc>
        <w:tc>
          <w:tcPr>
            <w:tcW w:w="2084" w:type="dxa"/>
            <w:vAlign w:val="center"/>
          </w:tcPr>
          <w:p>
            <w:pPr>
              <w:adjustRightInd w:val="0"/>
              <w:snapToGrid w:val="0"/>
              <w:spacing w:line="240" w:lineRule="auto"/>
              <w:jc w:val="center"/>
              <w:rPr>
                <w:color w:val="FF0000"/>
                <w:sz w:val="24"/>
              </w:rPr>
            </w:pPr>
            <w:r>
              <w:rPr>
                <w:sz w:val="24"/>
              </w:rPr>
              <w:t>过滤器出水</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838" w:type="dxa"/>
            <w:vAlign w:val="center"/>
          </w:tcPr>
          <w:p>
            <w:pPr>
              <w:kinsoku w:val="0"/>
              <w:spacing w:line="240" w:lineRule="auto"/>
              <w:jc w:val="center"/>
              <w:rPr>
                <w:sz w:val="24"/>
              </w:rPr>
            </w:pPr>
            <w:r>
              <w:rPr>
                <w:rFonts w:hint="eastAsia"/>
                <w:sz w:val="24"/>
              </w:rPr>
              <w:t>6</w:t>
            </w:r>
          </w:p>
        </w:tc>
        <w:tc>
          <w:tcPr>
            <w:tcW w:w="3217" w:type="dxa"/>
            <w:vAlign w:val="center"/>
          </w:tcPr>
          <w:p>
            <w:pPr>
              <w:kinsoku w:val="0"/>
              <w:spacing w:line="240" w:lineRule="auto"/>
              <w:jc w:val="center"/>
              <w:rPr>
                <w:sz w:val="24"/>
              </w:rPr>
            </w:pPr>
            <w:r>
              <w:rPr>
                <w:rFonts w:hint="eastAsia"/>
                <w:sz w:val="24"/>
              </w:rPr>
              <w:t>缓蚀阻垢剂</w:t>
            </w:r>
          </w:p>
        </w:tc>
        <w:tc>
          <w:tcPr>
            <w:tcW w:w="2383" w:type="dxa"/>
            <w:vAlign w:val="center"/>
          </w:tcPr>
          <w:p>
            <w:pPr>
              <w:kinsoku w:val="0"/>
              <w:spacing w:line="240" w:lineRule="auto"/>
              <w:jc w:val="center"/>
              <w:rPr>
                <w:color w:val="FF0000"/>
                <w:sz w:val="24"/>
              </w:rPr>
            </w:pPr>
          </w:p>
        </w:tc>
        <w:tc>
          <w:tcPr>
            <w:tcW w:w="2084" w:type="dxa"/>
            <w:vAlign w:val="center"/>
          </w:tcPr>
          <w:p>
            <w:pPr>
              <w:adjustRightInd w:val="0"/>
              <w:snapToGrid w:val="0"/>
              <w:spacing w:line="240" w:lineRule="auto"/>
              <w:jc w:val="center"/>
              <w:rPr>
                <w:color w:val="FF0000"/>
                <w:sz w:val="24"/>
              </w:rPr>
            </w:pPr>
            <w:r>
              <w:rPr>
                <w:sz w:val="24"/>
              </w:rPr>
              <w:t>喂水泵入口</w:t>
            </w:r>
          </w:p>
        </w:tc>
      </w:tr>
    </w:tbl>
    <w:p>
      <w:pPr>
        <w:pStyle w:val="4"/>
        <w:spacing w:line="600" w:lineRule="auto"/>
        <w:rPr>
          <w:color w:val="000000"/>
          <w:sz w:val="32"/>
        </w:rPr>
      </w:pPr>
      <w:bookmarkStart w:id="76" w:name="_Toc20749"/>
      <w:bookmarkStart w:id="77" w:name="_Toc23305"/>
      <w:r>
        <w:rPr>
          <w:rFonts w:hint="eastAsia"/>
          <w:color w:val="000000"/>
          <w:sz w:val="32"/>
        </w:rPr>
        <w:t>3.5</w:t>
      </w:r>
      <w:r>
        <w:rPr>
          <w:color w:val="000000"/>
          <w:sz w:val="32"/>
        </w:rPr>
        <w:t>公共设施</w:t>
      </w:r>
      <w:bookmarkEnd w:id="71"/>
      <w:bookmarkEnd w:id="76"/>
      <w:bookmarkEnd w:id="77"/>
    </w:p>
    <w:p>
      <w:pPr>
        <w:pStyle w:val="18"/>
        <w:ind w:right="268" w:firstLine="560" w:firstLineChars="200"/>
        <w:rPr>
          <w:color w:val="000000"/>
          <w:sz w:val="28"/>
        </w:rPr>
      </w:pPr>
      <w:r>
        <w:rPr>
          <w:rFonts w:hint="eastAsia"/>
          <w:color w:val="000000"/>
          <w:sz w:val="28"/>
        </w:rPr>
        <w:t>1、给水</w:t>
      </w:r>
    </w:p>
    <w:p>
      <w:pPr>
        <w:pStyle w:val="18"/>
        <w:ind w:firstLine="560" w:firstLineChars="200"/>
        <w:rPr>
          <w:color w:val="000000"/>
          <w:sz w:val="28"/>
        </w:rPr>
      </w:pPr>
      <w:r>
        <w:rPr>
          <w:rFonts w:hint="eastAsia"/>
          <w:color w:val="000000"/>
          <w:sz w:val="28"/>
        </w:rPr>
        <w:t>项目用水依托神泉联合站，可以满足本项目需要，年用水量为146m</w:t>
      </w:r>
      <w:r>
        <w:rPr>
          <w:rFonts w:hint="eastAsia"/>
          <w:color w:val="000000"/>
          <w:sz w:val="28"/>
          <w:vertAlign w:val="superscript"/>
        </w:rPr>
        <w:t>3</w:t>
      </w:r>
      <w:r>
        <w:rPr>
          <w:rFonts w:hint="eastAsia"/>
          <w:color w:val="000000"/>
          <w:sz w:val="28"/>
        </w:rPr>
        <w:t>。</w:t>
      </w:r>
    </w:p>
    <w:p>
      <w:pPr>
        <w:pStyle w:val="18"/>
        <w:ind w:right="268" w:firstLine="560" w:firstLineChars="200"/>
        <w:rPr>
          <w:color w:val="000000"/>
          <w:sz w:val="28"/>
        </w:rPr>
      </w:pPr>
      <w:bookmarkStart w:id="78" w:name="_Toc402960634"/>
      <w:bookmarkStart w:id="79" w:name="_Toc8430"/>
      <w:bookmarkStart w:id="80" w:name="_Toc29344"/>
      <w:bookmarkStart w:id="81" w:name="_Toc405593695"/>
      <w:bookmarkStart w:id="82" w:name="_Toc3289"/>
      <w:bookmarkStart w:id="83" w:name="_Toc382518975"/>
      <w:bookmarkStart w:id="84" w:name="_Toc4579"/>
      <w:bookmarkStart w:id="85" w:name="_Toc168039594"/>
      <w:bookmarkStart w:id="86" w:name="_Toc166838211"/>
      <w:r>
        <w:rPr>
          <w:rFonts w:hint="eastAsia"/>
          <w:color w:val="000000"/>
          <w:sz w:val="28"/>
        </w:rPr>
        <w:t>2、供电</w:t>
      </w:r>
      <w:bookmarkEnd w:id="78"/>
      <w:bookmarkEnd w:id="79"/>
      <w:bookmarkEnd w:id="80"/>
      <w:bookmarkEnd w:id="81"/>
      <w:bookmarkEnd w:id="82"/>
      <w:bookmarkEnd w:id="83"/>
      <w:bookmarkEnd w:id="84"/>
    </w:p>
    <w:p>
      <w:pPr>
        <w:pStyle w:val="18"/>
        <w:ind w:firstLine="560" w:firstLineChars="200"/>
        <w:rPr>
          <w:color w:val="000000"/>
          <w:sz w:val="28"/>
        </w:rPr>
      </w:pPr>
      <w:bookmarkStart w:id="87" w:name="_Toc405593696"/>
      <w:bookmarkStart w:id="88" w:name="_Toc22135"/>
      <w:bookmarkStart w:id="89" w:name="_Toc402960635"/>
      <w:bookmarkStart w:id="90" w:name="_Toc11944"/>
      <w:bookmarkStart w:id="91" w:name="_Toc382518976"/>
      <w:bookmarkStart w:id="92" w:name="_Toc3103"/>
      <w:bookmarkStart w:id="93" w:name="_Toc17598"/>
      <w:r>
        <w:rPr>
          <w:rFonts w:hint="eastAsia"/>
          <w:color w:val="000000"/>
          <w:sz w:val="28"/>
        </w:rPr>
        <w:t>电源引自附近变压器，采用低压电缆埋地敷设引至配电室。配电室内设4面低压开关柜。</w:t>
      </w:r>
    </w:p>
    <w:bookmarkEnd w:id="87"/>
    <w:bookmarkEnd w:id="88"/>
    <w:bookmarkEnd w:id="89"/>
    <w:bookmarkEnd w:id="90"/>
    <w:bookmarkEnd w:id="91"/>
    <w:bookmarkEnd w:id="92"/>
    <w:bookmarkEnd w:id="93"/>
    <w:p>
      <w:pPr>
        <w:pStyle w:val="18"/>
        <w:ind w:right="268" w:firstLine="560" w:firstLineChars="200"/>
        <w:rPr>
          <w:color w:val="000000"/>
          <w:sz w:val="28"/>
        </w:rPr>
      </w:pPr>
      <w:r>
        <w:rPr>
          <w:rFonts w:hint="eastAsia"/>
          <w:color w:val="000000"/>
          <w:sz w:val="28"/>
        </w:rPr>
        <w:t>3、供暖及通风</w:t>
      </w:r>
    </w:p>
    <w:p>
      <w:pPr>
        <w:pStyle w:val="18"/>
        <w:ind w:firstLine="560" w:firstLineChars="200"/>
        <w:rPr>
          <w:color w:val="000000"/>
          <w:sz w:val="28"/>
        </w:rPr>
      </w:pPr>
      <w:r>
        <w:rPr>
          <w:rFonts w:hint="eastAsia"/>
          <w:color w:val="000000"/>
          <w:sz w:val="28"/>
        </w:rPr>
        <w:t>项目污水管道采用聚氨酯材料进行保温，池体采用热交换器保证污水处理站的给池体在冬季的正常运行工作。项目区所有的热源也依托神泉集中处理站。</w:t>
      </w:r>
    </w:p>
    <w:p>
      <w:pPr>
        <w:pStyle w:val="18"/>
        <w:ind w:firstLine="560" w:firstLineChars="200"/>
        <w:rPr>
          <w:color w:val="000000"/>
          <w:sz w:val="28"/>
        </w:rPr>
      </w:pPr>
      <w:r>
        <w:rPr>
          <w:rFonts w:hint="eastAsia"/>
          <w:color w:val="000000"/>
          <w:sz w:val="28"/>
        </w:rPr>
        <w:t>一级提升泵房、过滤提升泵房设机械通风，并与报警器联锁，防止可燃、有害气体在泵房内聚集，设置3台防爆轴流风机。</w:t>
      </w:r>
    </w:p>
    <w:p>
      <w:pPr>
        <w:pStyle w:val="18"/>
        <w:ind w:right="268" w:firstLine="560" w:firstLineChars="200"/>
        <w:rPr>
          <w:color w:val="000000"/>
          <w:sz w:val="28"/>
        </w:rPr>
      </w:pPr>
      <w:bookmarkStart w:id="94" w:name="_Toc27220"/>
      <w:r>
        <w:rPr>
          <w:rFonts w:hint="eastAsia"/>
          <w:color w:val="000000"/>
          <w:sz w:val="28"/>
        </w:rPr>
        <w:t>4、消防</w:t>
      </w:r>
      <w:bookmarkEnd w:id="85"/>
      <w:bookmarkEnd w:id="86"/>
      <w:bookmarkEnd w:id="94"/>
    </w:p>
    <w:p>
      <w:pPr>
        <w:pStyle w:val="18"/>
        <w:ind w:firstLine="560" w:firstLineChars="200"/>
        <w:rPr>
          <w:color w:val="000000"/>
          <w:sz w:val="28"/>
        </w:rPr>
      </w:pPr>
      <w:r>
        <w:rPr>
          <w:rFonts w:hint="eastAsia"/>
          <w:color w:val="000000"/>
          <w:sz w:val="28"/>
        </w:rPr>
        <w:t>新建厂房及隔油池配备移动式灭火器。其中设置手提式灭火器10个，推车式灭火器6个。</w:t>
      </w:r>
    </w:p>
    <w:bookmarkEnd w:id="72"/>
    <w:p>
      <w:pPr>
        <w:pStyle w:val="18"/>
        <w:spacing w:line="600" w:lineRule="auto"/>
        <w:outlineLvl w:val="2"/>
        <w:rPr>
          <w:b/>
          <w:bCs/>
          <w:spacing w:val="8"/>
          <w:sz w:val="32"/>
          <w:szCs w:val="28"/>
        </w:rPr>
      </w:pPr>
      <w:bookmarkStart w:id="95" w:name="_Toc32003"/>
      <w:bookmarkStart w:id="96" w:name="_Toc23521"/>
      <w:bookmarkStart w:id="97" w:name="_Toc2480"/>
      <w:r>
        <w:rPr>
          <w:rFonts w:hint="eastAsia"/>
          <w:b/>
          <w:bCs/>
          <w:spacing w:val="8"/>
          <w:sz w:val="32"/>
          <w:szCs w:val="28"/>
        </w:rPr>
        <w:t>3.6</w:t>
      </w:r>
      <w:r>
        <w:rPr>
          <w:b/>
          <w:bCs/>
          <w:spacing w:val="8"/>
          <w:sz w:val="32"/>
          <w:szCs w:val="28"/>
        </w:rPr>
        <w:t>生产人员及周期</w:t>
      </w:r>
      <w:bookmarkEnd w:id="95"/>
      <w:bookmarkEnd w:id="96"/>
      <w:bookmarkEnd w:id="97"/>
    </w:p>
    <w:bookmarkEnd w:id="13"/>
    <w:bookmarkEnd w:id="14"/>
    <w:bookmarkEnd w:id="15"/>
    <w:bookmarkEnd w:id="16"/>
    <w:bookmarkEnd w:id="17"/>
    <w:bookmarkEnd w:id="18"/>
    <w:bookmarkEnd w:id="19"/>
    <w:bookmarkEnd w:id="20"/>
    <w:bookmarkEnd w:id="21"/>
    <w:bookmarkEnd w:id="22"/>
    <w:bookmarkEnd w:id="23"/>
    <w:bookmarkEnd w:id="24"/>
    <w:p>
      <w:pPr>
        <w:pStyle w:val="18"/>
        <w:ind w:firstLine="592" w:firstLineChars="200"/>
        <w:rPr>
          <w:spacing w:val="8"/>
          <w:sz w:val="28"/>
        </w:rPr>
      </w:pPr>
      <w:bookmarkStart w:id="98" w:name="_Toc2969"/>
      <w:bookmarkStart w:id="99" w:name="_Toc27458"/>
      <w:bookmarkStart w:id="100" w:name="_Toc230514378"/>
      <w:bookmarkStart w:id="101" w:name="_Toc346635704"/>
      <w:bookmarkStart w:id="102" w:name="_Toc242855111"/>
      <w:bookmarkStart w:id="103" w:name="_Toc6618"/>
      <w:bookmarkStart w:id="104" w:name="_Toc73431148"/>
      <w:bookmarkStart w:id="105" w:name="_Toc56918232"/>
      <w:bookmarkStart w:id="106" w:name="_Toc63825931"/>
      <w:bookmarkStart w:id="107" w:name="_Toc68516272"/>
      <w:bookmarkStart w:id="108" w:name="_Toc125120775"/>
      <w:bookmarkStart w:id="109" w:name="_Toc64714068"/>
      <w:bookmarkStart w:id="110" w:name="_Toc63588081"/>
      <w:bookmarkStart w:id="111" w:name="_Toc68937048"/>
      <w:bookmarkStart w:id="112" w:name="_Toc68939305"/>
      <w:bookmarkStart w:id="113" w:name="_Toc73183902"/>
      <w:r>
        <w:rPr>
          <w:rFonts w:hint="eastAsia"/>
          <w:spacing w:val="8"/>
          <w:sz w:val="28"/>
        </w:rPr>
        <w:t>生产装置为全年连续运转，生产定员8人。</w:t>
      </w:r>
      <w:bookmarkEnd w:id="98"/>
    </w:p>
    <w:bookmarkEnd w:id="99"/>
    <w:p>
      <w:pPr>
        <w:pStyle w:val="18"/>
        <w:spacing w:line="600" w:lineRule="auto"/>
        <w:ind w:right="268"/>
        <w:outlineLvl w:val="1"/>
        <w:rPr>
          <w:b/>
          <w:bCs/>
          <w:color w:val="000000"/>
          <w:sz w:val="32"/>
          <w:szCs w:val="32"/>
        </w:rPr>
      </w:pPr>
      <w:bookmarkStart w:id="114" w:name="_Toc15483"/>
      <w:r>
        <w:rPr>
          <w:rFonts w:hint="eastAsia"/>
          <w:b/>
          <w:bCs/>
          <w:color w:val="000000"/>
          <w:sz w:val="32"/>
          <w:szCs w:val="32"/>
        </w:rPr>
        <w:t>3.7工艺流程</w:t>
      </w:r>
      <w:bookmarkEnd w:id="114"/>
    </w:p>
    <w:p>
      <w:pPr>
        <w:pStyle w:val="18"/>
        <w:ind w:firstLine="592" w:firstLineChars="200"/>
        <w:rPr>
          <w:spacing w:val="8"/>
          <w:sz w:val="28"/>
        </w:rPr>
      </w:pPr>
      <w:r>
        <w:rPr>
          <w:rFonts w:hint="eastAsia"/>
          <w:spacing w:val="8"/>
          <w:sz w:val="28"/>
        </w:rPr>
        <w:t>1、主流程</w:t>
      </w:r>
    </w:p>
    <w:p>
      <w:pPr>
        <w:adjustRightInd w:val="0"/>
        <w:snapToGrid w:val="0"/>
        <w:ind w:firstLine="592" w:firstLineChars="200"/>
        <w:rPr>
          <w:spacing w:val="8"/>
        </w:rPr>
      </w:pPr>
      <w:r>
        <w:rPr>
          <w:rFonts w:hint="eastAsia"/>
          <w:spacing w:val="8"/>
        </w:rPr>
        <w:t>污水在已建500立方储油罐中初步收油，沉降后，自流进入新建隔油池，进行水质水量均衡和除油、除砂。之后污水继续自流进入调节池进行缓冲和曝气，再经一级污水泵提升进入生化处理单元（生化反应池-沉淀池），去除石油类污染物，出水自流进入缓冲水池，最后经过二级污水泵提升进入两级改性纤维球过滤器，滤后水进入已建滤后水罐用于注水，各设施隔油池，调节池，生化池，沉淀池，缓冲水池池底污泥排至站外干化池。主要流程见下图。</w:t>
      </w:r>
    </w:p>
    <w:p>
      <w:pPr>
        <w:pStyle w:val="18"/>
        <w:rPr>
          <w:rFonts w:hint="eastAsia" w:eastAsia="宋体"/>
          <w:spacing w:val="8"/>
          <w:sz w:val="28"/>
          <w:lang w:eastAsia="zh-CN"/>
        </w:rPr>
      </w:pPr>
      <w:r>
        <w:rPr>
          <w:rFonts w:hint="eastAsia"/>
          <w:spacing w:val="8"/>
          <w:sz w:val="28"/>
          <w:lang w:eastAsia="zh-CN"/>
        </w:rPr>
        <w:drawing>
          <wp:inline distT="0" distB="0" distL="114300" distR="114300">
            <wp:extent cx="5297170" cy="7966710"/>
            <wp:effectExtent l="0" t="0" r="17780" b="0"/>
            <wp:docPr id="40" name="图片 40" descr="未命名文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未命名文件 (1)"/>
                    <pic:cNvPicPr>
                      <a:picLocks noChangeAspect="1"/>
                    </pic:cNvPicPr>
                  </pic:nvPicPr>
                  <pic:blipFill>
                    <a:blip r:embed="rId32"/>
                    <a:srcRect r="7341"/>
                    <a:stretch>
                      <a:fillRect/>
                    </a:stretch>
                  </pic:blipFill>
                  <pic:spPr>
                    <a:xfrm>
                      <a:off x="0" y="0"/>
                      <a:ext cx="5297170" cy="7966710"/>
                    </a:xfrm>
                    <a:prstGeom prst="rect">
                      <a:avLst/>
                    </a:prstGeom>
                  </pic:spPr>
                </pic:pic>
              </a:graphicData>
            </a:graphic>
          </wp:inline>
        </w:drawing>
      </w:r>
    </w:p>
    <w:p>
      <w:pPr>
        <w:adjustRightInd w:val="0"/>
        <w:snapToGrid w:val="0"/>
        <w:jc w:val="both"/>
        <w:outlineLvl w:val="4"/>
        <w:rPr>
          <w:rFonts w:hint="eastAsia"/>
          <w:b/>
          <w:sz w:val="18"/>
          <w:szCs w:val="18"/>
          <w:lang w:val="en-US" w:eastAsia="zh-CN"/>
        </w:rPr>
      </w:pPr>
      <w:r>
        <w:rPr>
          <w:rFonts w:hint="eastAsia"/>
          <w:b/>
          <w:sz w:val="18"/>
          <w:szCs w:val="18"/>
          <w:lang w:val="en-US" w:eastAsia="zh-CN"/>
        </w:rPr>
        <w:t xml:space="preserve"> 注：红框红字为新建，黑框红字为改造</w:t>
      </w:r>
    </w:p>
    <w:p>
      <w:pPr>
        <w:adjustRightInd w:val="0"/>
        <w:snapToGrid w:val="0"/>
        <w:ind w:firstLine="482" w:firstLineChars="200"/>
        <w:jc w:val="center"/>
        <w:outlineLvl w:val="4"/>
        <w:rPr>
          <w:b/>
          <w:sz w:val="24"/>
        </w:rPr>
      </w:pPr>
      <w:r>
        <w:rPr>
          <w:rFonts w:hint="eastAsia"/>
          <w:b/>
          <w:sz w:val="24"/>
        </w:rPr>
        <w:t>图2.1-1  现有工艺流程图</w:t>
      </w:r>
      <w:r>
        <w:rPr>
          <w:rFonts w:hint="eastAsia"/>
          <w:b/>
          <w:sz w:val="24"/>
          <w:lang w:val="en-US" w:eastAsia="zh-CN"/>
        </w:rPr>
        <w:t xml:space="preserve">       </w:t>
      </w:r>
    </w:p>
    <w:p>
      <w:pPr>
        <w:pStyle w:val="18"/>
        <w:ind w:right="268" w:firstLine="592" w:firstLineChars="200"/>
        <w:rPr>
          <w:spacing w:val="8"/>
          <w:sz w:val="28"/>
        </w:rPr>
      </w:pPr>
      <w:r>
        <w:rPr>
          <w:rFonts w:hint="eastAsia"/>
          <w:spacing w:val="8"/>
          <w:sz w:val="28"/>
        </w:rPr>
        <w:t>2、收油流程</w:t>
      </w:r>
    </w:p>
    <w:p>
      <w:pPr>
        <w:pStyle w:val="18"/>
        <w:ind w:firstLine="592" w:firstLineChars="200"/>
        <w:rPr>
          <w:spacing w:val="8"/>
          <w:sz w:val="28"/>
        </w:rPr>
      </w:pPr>
      <w:r>
        <w:rPr>
          <w:rFonts w:hint="eastAsia"/>
          <w:spacing w:val="8"/>
          <w:sz w:val="28"/>
        </w:rPr>
        <w:t>污水处理过程中，隔油池，调节池，生化池等构筑物顶部会存留污油。隔油池，调节池，生化池等构筑物的顶部污油自流进入新建污油池，由新建污油回收泵输送至现有300立方污油罐统一打回油区处理。</w:t>
      </w:r>
    </w:p>
    <w:p>
      <w:pPr>
        <w:pStyle w:val="18"/>
        <w:ind w:right="268"/>
        <w:rPr>
          <w:color w:val="FF0000"/>
          <w:spacing w:val="8"/>
          <w:sz w:val="28"/>
        </w:rPr>
      </w:pPr>
      <w:r>
        <w:rPr>
          <w:rFonts w:hint="eastAsia"/>
          <w:color w:val="FF0000"/>
          <w:spacing w:val="8"/>
          <w:sz w:val="28"/>
        </w:rPr>
        <w:drawing>
          <wp:inline distT="0" distB="0" distL="114300" distR="114300">
            <wp:extent cx="5118100" cy="1287145"/>
            <wp:effectExtent l="0" t="0" r="6350" b="8255"/>
            <wp:docPr id="15" name="图片 15" descr="跨职能流程图（水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跨职能流程图（水平）"/>
                    <pic:cNvPicPr>
                      <a:picLocks noChangeAspect="1"/>
                    </pic:cNvPicPr>
                  </pic:nvPicPr>
                  <pic:blipFill>
                    <a:blip r:embed="rId33"/>
                    <a:srcRect l="9811" t="82186" r="18079" b="9916"/>
                    <a:stretch>
                      <a:fillRect/>
                    </a:stretch>
                  </pic:blipFill>
                  <pic:spPr>
                    <a:xfrm>
                      <a:off x="0" y="0"/>
                      <a:ext cx="5118100" cy="1287145"/>
                    </a:xfrm>
                    <a:prstGeom prst="rect">
                      <a:avLst/>
                    </a:prstGeom>
                  </pic:spPr>
                </pic:pic>
              </a:graphicData>
            </a:graphic>
          </wp:inline>
        </w:drawing>
      </w:r>
    </w:p>
    <w:p>
      <w:pPr>
        <w:pStyle w:val="18"/>
        <w:ind w:right="268" w:firstLine="592" w:firstLineChars="200"/>
        <w:rPr>
          <w:spacing w:val="8"/>
          <w:sz w:val="28"/>
        </w:rPr>
      </w:pPr>
      <w:r>
        <w:rPr>
          <w:rFonts w:hint="eastAsia"/>
          <w:spacing w:val="8"/>
          <w:sz w:val="28"/>
        </w:rPr>
        <w:t>3、排泥流程</w:t>
      </w:r>
    </w:p>
    <w:p>
      <w:pPr>
        <w:pStyle w:val="18"/>
        <w:ind w:firstLine="560" w:firstLineChars="200"/>
        <w:rPr>
          <w:sz w:val="28"/>
        </w:rPr>
      </w:pPr>
      <w:r>
        <w:rPr>
          <w:rFonts w:hint="eastAsia"/>
          <w:sz w:val="28"/>
        </w:rPr>
        <w:t>污水处理过程中，隔油池，调节池，生化池，沉淀池，缓冲水池会有污泥产生。隔油池，调节池，生化池，沉淀池，缓冲水池底部均设有积泥槽，安装多条排泥管，由污泥泵定期将池底污泥排至站外干化池。干化池内自然沉降，定期清理至红连、雁木西废渣场。流程见下图。</w:t>
      </w:r>
    </w:p>
    <w:p>
      <w:pPr>
        <w:pStyle w:val="18"/>
        <w:ind w:right="268"/>
        <w:rPr>
          <w:color w:val="FF0000"/>
          <w:spacing w:val="8"/>
          <w:sz w:val="28"/>
        </w:rPr>
      </w:pPr>
      <w:r>
        <w:rPr>
          <w:rFonts w:hint="eastAsia"/>
          <w:color w:val="FF0000"/>
          <w:spacing w:val="8"/>
          <w:sz w:val="28"/>
        </w:rPr>
        <w:drawing>
          <wp:inline distT="0" distB="0" distL="114300" distR="114300">
            <wp:extent cx="5433695" cy="1147445"/>
            <wp:effectExtent l="0" t="0" r="14605" b="14605"/>
            <wp:docPr id="24" name="图片 24" descr="跨职能流程图（水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跨职能流程图（水平） (1)"/>
                    <pic:cNvPicPr>
                      <a:picLocks noChangeAspect="1"/>
                    </pic:cNvPicPr>
                  </pic:nvPicPr>
                  <pic:blipFill>
                    <a:blip r:embed="rId34"/>
                    <a:srcRect t="91270" r="16833"/>
                    <a:stretch>
                      <a:fillRect/>
                    </a:stretch>
                  </pic:blipFill>
                  <pic:spPr>
                    <a:xfrm>
                      <a:off x="0" y="0"/>
                      <a:ext cx="5433695" cy="1147445"/>
                    </a:xfrm>
                    <a:prstGeom prst="rect">
                      <a:avLst/>
                    </a:prstGeom>
                  </pic:spPr>
                </pic:pic>
              </a:graphicData>
            </a:graphic>
          </wp:inline>
        </w:drawing>
      </w:r>
    </w:p>
    <w:p>
      <w:pPr>
        <w:pStyle w:val="3"/>
        <w:rPr>
          <w:sz w:val="28"/>
          <w:szCs w:val="28"/>
        </w:rPr>
      </w:pPr>
      <w:bookmarkStart w:id="115" w:name="_Toc240713395"/>
      <w:r>
        <w:rPr>
          <w:rFonts w:hint="eastAsia"/>
          <w:sz w:val="28"/>
          <w:szCs w:val="28"/>
        </w:rPr>
        <w:br w:type="page"/>
      </w:r>
    </w:p>
    <w:p>
      <w:pPr>
        <w:pStyle w:val="3"/>
        <w:spacing w:line="600" w:lineRule="auto"/>
        <w:rPr>
          <w:sz w:val="32"/>
        </w:rPr>
      </w:pPr>
      <w:bookmarkStart w:id="116" w:name="_Toc26616"/>
      <w:r>
        <w:rPr>
          <w:rFonts w:hint="eastAsia"/>
          <w:sz w:val="32"/>
        </w:rPr>
        <w:t>3.8 主要污染物产生及其治理措施</w:t>
      </w:r>
      <w:bookmarkEnd w:id="115"/>
      <w:bookmarkEnd w:id="116"/>
    </w:p>
    <w:p>
      <w:pPr>
        <w:spacing w:line="360" w:lineRule="auto"/>
        <w:ind w:firstLine="482" w:firstLineChars="200"/>
        <w:rPr>
          <w:b/>
          <w:bCs/>
          <w:sz w:val="24"/>
        </w:rPr>
      </w:pPr>
      <w:r>
        <w:rPr>
          <w:b/>
          <w:bCs/>
          <w:sz w:val="24"/>
        </w:rPr>
        <w:t>表3-</w:t>
      </w:r>
      <w:r>
        <w:rPr>
          <w:rFonts w:hint="eastAsia"/>
          <w:b/>
          <w:bCs/>
          <w:sz w:val="24"/>
        </w:rPr>
        <w:t xml:space="preserve">4             </w:t>
      </w:r>
      <w:r>
        <w:rPr>
          <w:b/>
          <w:bCs/>
          <w:sz w:val="24"/>
        </w:rPr>
        <w:t>主要污染物及其排放一览表</w:t>
      </w:r>
    </w:p>
    <w:bookmarkEnd w:id="100"/>
    <w:bookmarkEnd w:id="101"/>
    <w:bookmarkEnd w:id="102"/>
    <w:bookmarkEnd w:id="103"/>
    <w:tbl>
      <w:tblPr>
        <w:tblStyle w:val="40"/>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237"/>
        <w:gridCol w:w="1219"/>
        <w:gridCol w:w="1200"/>
        <w:gridCol w:w="2995"/>
        <w:gridCol w:w="11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Align w:val="center"/>
          </w:tcPr>
          <w:p>
            <w:pPr>
              <w:autoSpaceDE w:val="0"/>
              <w:autoSpaceDN w:val="0"/>
              <w:adjustRightInd w:val="0"/>
              <w:spacing w:line="240" w:lineRule="auto"/>
              <w:jc w:val="center"/>
              <w:rPr>
                <w:kern w:val="0"/>
                <w:sz w:val="24"/>
                <w:szCs w:val="20"/>
              </w:rPr>
            </w:pPr>
            <w:r>
              <w:rPr>
                <w:kern w:val="0"/>
                <w:sz w:val="24"/>
                <w:szCs w:val="20"/>
              </w:rPr>
              <w:t>类别</w:t>
            </w:r>
          </w:p>
        </w:tc>
        <w:tc>
          <w:tcPr>
            <w:tcW w:w="1237" w:type="dxa"/>
            <w:vAlign w:val="center"/>
          </w:tcPr>
          <w:p>
            <w:pPr>
              <w:autoSpaceDE w:val="0"/>
              <w:autoSpaceDN w:val="0"/>
              <w:adjustRightInd w:val="0"/>
              <w:spacing w:line="240" w:lineRule="auto"/>
              <w:jc w:val="center"/>
              <w:rPr>
                <w:kern w:val="0"/>
                <w:sz w:val="24"/>
                <w:szCs w:val="20"/>
              </w:rPr>
            </w:pPr>
            <w:r>
              <w:rPr>
                <w:rFonts w:hint="eastAsia"/>
                <w:kern w:val="0"/>
                <w:sz w:val="24"/>
                <w:szCs w:val="20"/>
              </w:rPr>
              <w:t>来源</w:t>
            </w:r>
          </w:p>
        </w:tc>
        <w:tc>
          <w:tcPr>
            <w:tcW w:w="1219" w:type="dxa"/>
            <w:vAlign w:val="center"/>
          </w:tcPr>
          <w:p>
            <w:pPr>
              <w:autoSpaceDE w:val="0"/>
              <w:autoSpaceDN w:val="0"/>
              <w:adjustRightInd w:val="0"/>
              <w:spacing w:line="240" w:lineRule="auto"/>
              <w:jc w:val="center"/>
              <w:rPr>
                <w:kern w:val="0"/>
                <w:sz w:val="24"/>
                <w:szCs w:val="20"/>
              </w:rPr>
            </w:pPr>
            <w:r>
              <w:rPr>
                <w:kern w:val="0"/>
                <w:sz w:val="24"/>
                <w:szCs w:val="20"/>
              </w:rPr>
              <w:t>污染物</w:t>
            </w:r>
          </w:p>
        </w:tc>
        <w:tc>
          <w:tcPr>
            <w:tcW w:w="1200" w:type="dxa"/>
            <w:vAlign w:val="center"/>
          </w:tcPr>
          <w:p>
            <w:pPr>
              <w:autoSpaceDE w:val="0"/>
              <w:autoSpaceDN w:val="0"/>
              <w:adjustRightInd w:val="0"/>
              <w:spacing w:line="240" w:lineRule="auto"/>
              <w:jc w:val="center"/>
              <w:rPr>
                <w:kern w:val="0"/>
                <w:sz w:val="24"/>
                <w:szCs w:val="20"/>
              </w:rPr>
            </w:pPr>
            <w:r>
              <w:rPr>
                <w:rFonts w:hint="eastAsia"/>
                <w:kern w:val="0"/>
                <w:sz w:val="24"/>
                <w:szCs w:val="20"/>
              </w:rPr>
              <w:t>排放形式</w:t>
            </w:r>
          </w:p>
        </w:tc>
        <w:tc>
          <w:tcPr>
            <w:tcW w:w="2995" w:type="dxa"/>
            <w:vAlign w:val="center"/>
          </w:tcPr>
          <w:p>
            <w:pPr>
              <w:autoSpaceDE w:val="0"/>
              <w:autoSpaceDN w:val="0"/>
              <w:adjustRightInd w:val="0"/>
              <w:spacing w:line="240" w:lineRule="auto"/>
              <w:jc w:val="center"/>
              <w:rPr>
                <w:kern w:val="0"/>
                <w:sz w:val="24"/>
                <w:szCs w:val="20"/>
              </w:rPr>
            </w:pPr>
            <w:r>
              <w:rPr>
                <w:kern w:val="0"/>
                <w:sz w:val="24"/>
                <w:szCs w:val="20"/>
              </w:rPr>
              <w:t>处理处置方式</w:t>
            </w:r>
          </w:p>
        </w:tc>
        <w:tc>
          <w:tcPr>
            <w:tcW w:w="1153" w:type="dxa"/>
            <w:vAlign w:val="center"/>
          </w:tcPr>
          <w:p>
            <w:pPr>
              <w:autoSpaceDE w:val="0"/>
              <w:autoSpaceDN w:val="0"/>
              <w:adjustRightInd w:val="0"/>
              <w:spacing w:line="240" w:lineRule="auto"/>
              <w:jc w:val="center"/>
              <w:rPr>
                <w:kern w:val="0"/>
                <w:sz w:val="24"/>
                <w:szCs w:val="20"/>
              </w:rPr>
            </w:pPr>
            <w:r>
              <w:rPr>
                <w:rFonts w:hint="eastAsia"/>
                <w:kern w:val="0"/>
                <w:sz w:val="24"/>
                <w:szCs w:val="20"/>
              </w:rPr>
              <w:t>排放去向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Merge w:val="restart"/>
            <w:vAlign w:val="center"/>
          </w:tcPr>
          <w:p>
            <w:pPr>
              <w:autoSpaceDE w:val="0"/>
              <w:autoSpaceDN w:val="0"/>
              <w:adjustRightInd w:val="0"/>
              <w:spacing w:line="240" w:lineRule="auto"/>
              <w:jc w:val="center"/>
              <w:rPr>
                <w:kern w:val="0"/>
                <w:sz w:val="24"/>
                <w:szCs w:val="20"/>
              </w:rPr>
            </w:pPr>
            <w:r>
              <w:rPr>
                <w:kern w:val="0"/>
                <w:sz w:val="24"/>
                <w:szCs w:val="20"/>
              </w:rPr>
              <w:t>固废</w:t>
            </w:r>
          </w:p>
        </w:tc>
        <w:tc>
          <w:tcPr>
            <w:tcW w:w="1237" w:type="dxa"/>
            <w:vAlign w:val="center"/>
          </w:tcPr>
          <w:p>
            <w:pPr>
              <w:autoSpaceDE w:val="0"/>
              <w:autoSpaceDN w:val="0"/>
              <w:adjustRightInd w:val="0"/>
              <w:spacing w:line="240" w:lineRule="auto"/>
              <w:jc w:val="center"/>
              <w:rPr>
                <w:kern w:val="0"/>
                <w:sz w:val="24"/>
                <w:szCs w:val="20"/>
              </w:rPr>
            </w:pPr>
            <w:r>
              <w:rPr>
                <w:rFonts w:hint="eastAsia"/>
                <w:kern w:val="0"/>
                <w:sz w:val="24"/>
                <w:szCs w:val="20"/>
              </w:rPr>
              <w:t>污水处理工艺</w:t>
            </w:r>
          </w:p>
        </w:tc>
        <w:tc>
          <w:tcPr>
            <w:tcW w:w="1219" w:type="dxa"/>
            <w:vAlign w:val="center"/>
          </w:tcPr>
          <w:p>
            <w:pPr>
              <w:autoSpaceDE w:val="0"/>
              <w:autoSpaceDN w:val="0"/>
              <w:adjustRightInd w:val="0"/>
              <w:spacing w:line="240" w:lineRule="auto"/>
              <w:jc w:val="center"/>
              <w:rPr>
                <w:kern w:val="0"/>
                <w:sz w:val="24"/>
                <w:szCs w:val="20"/>
              </w:rPr>
            </w:pPr>
            <w:r>
              <w:rPr>
                <w:sz w:val="24"/>
              </w:rPr>
              <w:t>含油污泥</w:t>
            </w:r>
          </w:p>
        </w:tc>
        <w:tc>
          <w:tcPr>
            <w:tcW w:w="1200" w:type="dxa"/>
            <w:vAlign w:val="center"/>
          </w:tcPr>
          <w:p>
            <w:pPr>
              <w:autoSpaceDE w:val="0"/>
              <w:autoSpaceDN w:val="0"/>
              <w:adjustRightInd w:val="0"/>
              <w:spacing w:line="240" w:lineRule="auto"/>
              <w:jc w:val="center"/>
              <w:rPr>
                <w:kern w:val="0"/>
                <w:sz w:val="24"/>
                <w:szCs w:val="20"/>
              </w:rPr>
            </w:pPr>
            <w:r>
              <w:rPr>
                <w:rFonts w:hint="eastAsia"/>
                <w:kern w:val="0"/>
                <w:sz w:val="24"/>
                <w:szCs w:val="20"/>
              </w:rPr>
              <w:t>连续排放</w:t>
            </w:r>
          </w:p>
        </w:tc>
        <w:tc>
          <w:tcPr>
            <w:tcW w:w="2995" w:type="dxa"/>
            <w:vAlign w:val="center"/>
          </w:tcPr>
          <w:p>
            <w:pPr>
              <w:autoSpaceDE w:val="0"/>
              <w:autoSpaceDN w:val="0"/>
              <w:adjustRightInd w:val="0"/>
              <w:spacing w:line="240" w:lineRule="auto"/>
              <w:ind w:firstLine="480" w:firstLineChars="200"/>
              <w:rPr>
                <w:kern w:val="0"/>
                <w:sz w:val="24"/>
                <w:szCs w:val="20"/>
              </w:rPr>
            </w:pPr>
            <w:r>
              <w:rPr>
                <w:rFonts w:hint="eastAsia"/>
                <w:sz w:val="24"/>
              </w:rPr>
              <w:t>集中处理站指定专人负责收集拉运至红连、雁木西废渣场</w:t>
            </w:r>
          </w:p>
        </w:tc>
        <w:tc>
          <w:tcPr>
            <w:tcW w:w="1153" w:type="dxa"/>
            <w:vAlign w:val="center"/>
          </w:tcPr>
          <w:p>
            <w:pPr>
              <w:autoSpaceDE w:val="0"/>
              <w:autoSpaceDN w:val="0"/>
              <w:adjustRightInd w:val="0"/>
              <w:spacing w:line="240" w:lineRule="auto"/>
              <w:jc w:val="center"/>
              <w:rPr>
                <w:kern w:val="0"/>
                <w:sz w:val="24"/>
                <w:szCs w:val="20"/>
              </w:rPr>
            </w:pPr>
            <w:r>
              <w:rPr>
                <w:rFonts w:hint="eastAsia"/>
                <w:sz w:val="24"/>
              </w:rPr>
              <w:t>红连、雁木西废渣场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Merge w:val="continue"/>
            <w:vAlign w:val="center"/>
          </w:tcPr>
          <w:p>
            <w:pPr>
              <w:autoSpaceDE w:val="0"/>
              <w:autoSpaceDN w:val="0"/>
              <w:adjustRightInd w:val="0"/>
              <w:spacing w:line="240" w:lineRule="auto"/>
              <w:jc w:val="center"/>
            </w:pPr>
          </w:p>
        </w:tc>
        <w:tc>
          <w:tcPr>
            <w:tcW w:w="1237" w:type="dxa"/>
            <w:vAlign w:val="center"/>
          </w:tcPr>
          <w:p>
            <w:pPr>
              <w:autoSpaceDE w:val="0"/>
              <w:autoSpaceDN w:val="0"/>
              <w:adjustRightInd w:val="0"/>
              <w:spacing w:line="240" w:lineRule="auto"/>
              <w:jc w:val="center"/>
              <w:rPr>
                <w:kern w:val="0"/>
                <w:sz w:val="24"/>
                <w:szCs w:val="20"/>
              </w:rPr>
            </w:pPr>
            <w:r>
              <w:rPr>
                <w:rFonts w:hint="eastAsia"/>
                <w:kern w:val="0"/>
                <w:sz w:val="24"/>
                <w:szCs w:val="20"/>
              </w:rPr>
              <w:t>消毒装置</w:t>
            </w:r>
          </w:p>
        </w:tc>
        <w:tc>
          <w:tcPr>
            <w:tcW w:w="1219" w:type="dxa"/>
            <w:vAlign w:val="center"/>
          </w:tcPr>
          <w:p>
            <w:pPr>
              <w:autoSpaceDE w:val="0"/>
              <w:autoSpaceDN w:val="0"/>
              <w:adjustRightInd w:val="0"/>
              <w:spacing w:line="240" w:lineRule="auto"/>
              <w:jc w:val="center"/>
              <w:rPr>
                <w:kern w:val="0"/>
                <w:sz w:val="24"/>
                <w:szCs w:val="20"/>
              </w:rPr>
            </w:pPr>
            <w:r>
              <w:rPr>
                <w:rFonts w:hint="eastAsia"/>
                <w:spacing w:val="4"/>
                <w:sz w:val="24"/>
              </w:rPr>
              <w:t>/</w:t>
            </w:r>
          </w:p>
        </w:tc>
        <w:tc>
          <w:tcPr>
            <w:tcW w:w="1200" w:type="dxa"/>
            <w:vAlign w:val="center"/>
          </w:tcPr>
          <w:p>
            <w:pPr>
              <w:autoSpaceDE w:val="0"/>
              <w:autoSpaceDN w:val="0"/>
              <w:adjustRightInd w:val="0"/>
              <w:spacing w:line="240" w:lineRule="auto"/>
              <w:jc w:val="center"/>
              <w:rPr>
                <w:kern w:val="0"/>
                <w:sz w:val="24"/>
                <w:szCs w:val="20"/>
              </w:rPr>
            </w:pPr>
            <w:r>
              <w:rPr>
                <w:rFonts w:hint="eastAsia"/>
                <w:kern w:val="0"/>
                <w:sz w:val="24"/>
                <w:szCs w:val="20"/>
              </w:rPr>
              <w:t>/</w:t>
            </w:r>
          </w:p>
        </w:tc>
        <w:tc>
          <w:tcPr>
            <w:tcW w:w="2995" w:type="dxa"/>
            <w:vAlign w:val="center"/>
          </w:tcPr>
          <w:p>
            <w:pPr>
              <w:autoSpaceDE w:val="0"/>
              <w:autoSpaceDN w:val="0"/>
              <w:adjustRightInd w:val="0"/>
              <w:spacing w:line="240" w:lineRule="auto"/>
              <w:ind w:firstLine="992" w:firstLineChars="400"/>
              <w:rPr>
                <w:kern w:val="0"/>
                <w:sz w:val="24"/>
                <w:szCs w:val="20"/>
              </w:rPr>
            </w:pPr>
            <w:r>
              <w:rPr>
                <w:rFonts w:hint="eastAsia" w:hAnsi="宋体"/>
                <w:spacing w:val="4"/>
                <w:sz w:val="24"/>
              </w:rPr>
              <w:t>未安装</w:t>
            </w:r>
          </w:p>
        </w:tc>
        <w:tc>
          <w:tcPr>
            <w:tcW w:w="1153" w:type="dxa"/>
            <w:vAlign w:val="center"/>
          </w:tcPr>
          <w:p>
            <w:pPr>
              <w:autoSpaceDE w:val="0"/>
              <w:autoSpaceDN w:val="0"/>
              <w:adjustRightInd w:val="0"/>
              <w:spacing w:line="240" w:lineRule="auto"/>
              <w:jc w:val="center"/>
              <w:rPr>
                <w:kern w:val="0"/>
                <w:sz w:val="24"/>
                <w:szCs w:val="20"/>
              </w:rPr>
            </w:pPr>
            <w:r>
              <w:rPr>
                <w:rFonts w:hint="eastAsia" w:hAnsi="宋体"/>
                <w:spacing w:val="4"/>
                <w:sz w:val="24"/>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Merge w:val="continue"/>
            <w:vAlign w:val="center"/>
          </w:tcPr>
          <w:p>
            <w:pPr>
              <w:autoSpaceDE w:val="0"/>
              <w:autoSpaceDN w:val="0"/>
              <w:adjustRightInd w:val="0"/>
              <w:spacing w:line="240" w:lineRule="auto"/>
              <w:jc w:val="center"/>
              <w:rPr>
                <w:kern w:val="0"/>
                <w:sz w:val="24"/>
                <w:szCs w:val="20"/>
              </w:rPr>
            </w:pPr>
          </w:p>
        </w:tc>
        <w:tc>
          <w:tcPr>
            <w:tcW w:w="1237" w:type="dxa"/>
            <w:vAlign w:val="center"/>
          </w:tcPr>
          <w:p>
            <w:pPr>
              <w:autoSpaceDE w:val="0"/>
              <w:autoSpaceDN w:val="0"/>
              <w:adjustRightInd w:val="0"/>
              <w:spacing w:line="240" w:lineRule="auto"/>
              <w:jc w:val="center"/>
              <w:rPr>
                <w:kern w:val="0"/>
                <w:sz w:val="24"/>
                <w:szCs w:val="20"/>
              </w:rPr>
            </w:pPr>
            <w:r>
              <w:rPr>
                <w:rFonts w:hint="eastAsia"/>
                <w:kern w:val="0"/>
                <w:sz w:val="24"/>
                <w:szCs w:val="20"/>
              </w:rPr>
              <w:t>员工生活</w:t>
            </w:r>
          </w:p>
        </w:tc>
        <w:tc>
          <w:tcPr>
            <w:tcW w:w="1219" w:type="dxa"/>
            <w:vAlign w:val="center"/>
          </w:tcPr>
          <w:p>
            <w:pPr>
              <w:autoSpaceDE w:val="0"/>
              <w:autoSpaceDN w:val="0"/>
              <w:adjustRightInd w:val="0"/>
              <w:spacing w:line="240" w:lineRule="auto"/>
              <w:jc w:val="center"/>
              <w:rPr>
                <w:kern w:val="0"/>
                <w:sz w:val="24"/>
                <w:szCs w:val="20"/>
              </w:rPr>
            </w:pPr>
            <w:r>
              <w:rPr>
                <w:rFonts w:hAnsi="宋体"/>
                <w:sz w:val="24"/>
              </w:rPr>
              <w:t>生活垃圾</w:t>
            </w:r>
          </w:p>
        </w:tc>
        <w:tc>
          <w:tcPr>
            <w:tcW w:w="1200" w:type="dxa"/>
            <w:vAlign w:val="center"/>
          </w:tcPr>
          <w:p>
            <w:pPr>
              <w:autoSpaceDE w:val="0"/>
              <w:autoSpaceDN w:val="0"/>
              <w:adjustRightInd w:val="0"/>
              <w:spacing w:line="240" w:lineRule="auto"/>
              <w:jc w:val="center"/>
              <w:rPr>
                <w:kern w:val="0"/>
                <w:sz w:val="24"/>
                <w:szCs w:val="20"/>
              </w:rPr>
            </w:pPr>
            <w:r>
              <w:rPr>
                <w:rFonts w:hint="eastAsia"/>
                <w:kern w:val="0"/>
                <w:sz w:val="24"/>
                <w:szCs w:val="20"/>
              </w:rPr>
              <w:t>连续排放</w:t>
            </w:r>
          </w:p>
        </w:tc>
        <w:tc>
          <w:tcPr>
            <w:tcW w:w="2995" w:type="dxa"/>
            <w:vAlign w:val="center"/>
          </w:tcPr>
          <w:p>
            <w:pPr>
              <w:adjustRightInd w:val="0"/>
              <w:snapToGrid w:val="0"/>
              <w:spacing w:line="240" w:lineRule="auto"/>
              <w:ind w:firstLine="480" w:firstLineChars="200"/>
              <w:rPr>
                <w:rFonts w:hint="eastAsia" w:eastAsia="宋体"/>
                <w:kern w:val="0"/>
                <w:sz w:val="24"/>
                <w:szCs w:val="20"/>
                <w:lang w:eastAsia="zh-CN"/>
              </w:rPr>
            </w:pPr>
            <w:r>
              <w:rPr>
                <w:rFonts w:hint="eastAsia"/>
                <w:sz w:val="24"/>
                <w:lang w:val="en-US" w:eastAsia="zh-CN"/>
              </w:rPr>
              <w:t>依托神泉联合站</w:t>
            </w:r>
          </w:p>
        </w:tc>
        <w:tc>
          <w:tcPr>
            <w:tcW w:w="1153" w:type="dxa"/>
            <w:vAlign w:val="center"/>
          </w:tcPr>
          <w:p>
            <w:pPr>
              <w:autoSpaceDE w:val="0"/>
              <w:autoSpaceDN w:val="0"/>
              <w:adjustRightInd w:val="0"/>
              <w:spacing w:line="240" w:lineRule="auto"/>
              <w:jc w:val="center"/>
              <w:rPr>
                <w:kern w:val="0"/>
                <w:sz w:val="24"/>
                <w:szCs w:val="20"/>
              </w:rPr>
            </w:pPr>
            <w:r>
              <w:rPr>
                <w:rFonts w:hint="eastAsia"/>
                <w:kern w:val="0"/>
                <w:sz w:val="24"/>
                <w:szCs w:val="20"/>
                <w:lang w:val="en-US" w:eastAsia="zh-CN"/>
              </w:rPr>
              <w:t>神泉联合站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vAlign w:val="center"/>
          </w:tcPr>
          <w:p>
            <w:pPr>
              <w:autoSpaceDE w:val="0"/>
              <w:autoSpaceDN w:val="0"/>
              <w:adjustRightInd w:val="0"/>
              <w:spacing w:line="240" w:lineRule="auto"/>
              <w:jc w:val="center"/>
              <w:rPr>
                <w:kern w:val="0"/>
                <w:sz w:val="24"/>
                <w:szCs w:val="20"/>
              </w:rPr>
            </w:pPr>
            <w:r>
              <w:rPr>
                <w:kern w:val="0"/>
                <w:sz w:val="24"/>
                <w:szCs w:val="20"/>
              </w:rPr>
              <w:t>噪声</w:t>
            </w:r>
          </w:p>
        </w:tc>
        <w:tc>
          <w:tcPr>
            <w:tcW w:w="1237" w:type="dxa"/>
            <w:vAlign w:val="center"/>
          </w:tcPr>
          <w:p>
            <w:pPr>
              <w:autoSpaceDE w:val="0"/>
              <w:autoSpaceDN w:val="0"/>
              <w:adjustRightInd w:val="0"/>
              <w:spacing w:line="240" w:lineRule="auto"/>
              <w:jc w:val="center"/>
              <w:rPr>
                <w:kern w:val="0"/>
                <w:sz w:val="24"/>
                <w:szCs w:val="20"/>
              </w:rPr>
            </w:pPr>
            <w:r>
              <w:rPr>
                <w:rFonts w:hint="eastAsia"/>
                <w:kern w:val="0"/>
                <w:sz w:val="24"/>
                <w:szCs w:val="20"/>
              </w:rPr>
              <w:t>机械设备</w:t>
            </w:r>
          </w:p>
        </w:tc>
        <w:tc>
          <w:tcPr>
            <w:tcW w:w="1219" w:type="dxa"/>
            <w:vAlign w:val="center"/>
          </w:tcPr>
          <w:p>
            <w:pPr>
              <w:autoSpaceDE w:val="0"/>
              <w:autoSpaceDN w:val="0"/>
              <w:adjustRightInd w:val="0"/>
              <w:spacing w:line="240" w:lineRule="auto"/>
              <w:jc w:val="center"/>
              <w:rPr>
                <w:kern w:val="0"/>
                <w:sz w:val="24"/>
                <w:szCs w:val="20"/>
              </w:rPr>
            </w:pPr>
            <w:r>
              <w:rPr>
                <w:kern w:val="0"/>
                <w:sz w:val="24"/>
                <w:szCs w:val="20"/>
              </w:rPr>
              <w:t>机械噪声</w:t>
            </w:r>
          </w:p>
        </w:tc>
        <w:tc>
          <w:tcPr>
            <w:tcW w:w="1200" w:type="dxa"/>
            <w:vAlign w:val="center"/>
          </w:tcPr>
          <w:p>
            <w:pPr>
              <w:autoSpaceDE w:val="0"/>
              <w:autoSpaceDN w:val="0"/>
              <w:adjustRightInd w:val="0"/>
              <w:spacing w:line="240" w:lineRule="auto"/>
              <w:jc w:val="center"/>
              <w:rPr>
                <w:kern w:val="0"/>
                <w:sz w:val="24"/>
                <w:szCs w:val="20"/>
              </w:rPr>
            </w:pPr>
            <w:r>
              <w:rPr>
                <w:rFonts w:hint="eastAsia"/>
                <w:kern w:val="0"/>
                <w:sz w:val="24"/>
                <w:szCs w:val="20"/>
              </w:rPr>
              <w:t>连续排放</w:t>
            </w:r>
          </w:p>
        </w:tc>
        <w:tc>
          <w:tcPr>
            <w:tcW w:w="2995" w:type="dxa"/>
            <w:vAlign w:val="center"/>
          </w:tcPr>
          <w:p>
            <w:pPr>
              <w:autoSpaceDE w:val="0"/>
              <w:autoSpaceDN w:val="0"/>
              <w:adjustRightInd w:val="0"/>
              <w:spacing w:line="240" w:lineRule="auto"/>
              <w:jc w:val="center"/>
              <w:rPr>
                <w:kern w:val="0"/>
                <w:sz w:val="24"/>
                <w:szCs w:val="20"/>
              </w:rPr>
            </w:pPr>
            <w:r>
              <w:rPr>
                <w:kern w:val="0"/>
                <w:sz w:val="24"/>
                <w:szCs w:val="20"/>
              </w:rPr>
              <w:t>消声减震</w:t>
            </w:r>
          </w:p>
        </w:tc>
        <w:tc>
          <w:tcPr>
            <w:tcW w:w="1153" w:type="dxa"/>
            <w:vAlign w:val="center"/>
          </w:tcPr>
          <w:p>
            <w:pPr>
              <w:autoSpaceDE w:val="0"/>
              <w:autoSpaceDN w:val="0"/>
              <w:adjustRightInd w:val="0"/>
              <w:spacing w:line="240" w:lineRule="auto"/>
              <w:jc w:val="center"/>
              <w:rPr>
                <w:kern w:val="0"/>
                <w:sz w:val="24"/>
                <w:szCs w:val="20"/>
              </w:rPr>
            </w:pPr>
            <w:r>
              <w:rPr>
                <w:rFonts w:hint="eastAsia"/>
                <w:kern w:val="0"/>
                <w:sz w:val="24"/>
                <w:szCs w:val="20"/>
              </w:rPr>
              <w:t>环境</w:t>
            </w:r>
          </w:p>
        </w:tc>
      </w:tr>
      <w:bookmarkEnd w:id="104"/>
      <w:bookmarkEnd w:id="105"/>
      <w:bookmarkEnd w:id="106"/>
      <w:bookmarkEnd w:id="107"/>
      <w:bookmarkEnd w:id="108"/>
      <w:bookmarkEnd w:id="109"/>
      <w:bookmarkEnd w:id="110"/>
      <w:bookmarkEnd w:id="111"/>
      <w:bookmarkEnd w:id="112"/>
      <w:bookmarkEnd w:id="113"/>
    </w:tbl>
    <w:p>
      <w:pPr>
        <w:pStyle w:val="4"/>
      </w:pPr>
      <w:bookmarkStart w:id="117" w:name="_Toc13876"/>
      <w:bookmarkStart w:id="118" w:name="_Toc16619"/>
      <w:bookmarkStart w:id="119" w:name="_Toc13014"/>
      <w:bookmarkStart w:id="120" w:name="_Toc7150"/>
      <w:bookmarkStart w:id="121" w:name="_Toc5107"/>
      <w:bookmarkStart w:id="122" w:name="_Toc19214"/>
      <w:bookmarkStart w:id="123" w:name="OLE_LINK4"/>
      <w:bookmarkStart w:id="124" w:name="OLE_LINK5"/>
      <w:r>
        <w:rPr>
          <w:rFonts w:hint="eastAsia"/>
        </w:rPr>
        <w:t>3.8.</w:t>
      </w:r>
      <w:r>
        <w:rPr>
          <w:rFonts w:hint="eastAsia"/>
          <w:lang w:val="en-US" w:eastAsia="zh-CN"/>
        </w:rPr>
        <w:t>1</w:t>
      </w:r>
      <w:r>
        <w:t xml:space="preserve"> 噪声</w:t>
      </w:r>
      <w:bookmarkEnd w:id="117"/>
      <w:bookmarkEnd w:id="118"/>
      <w:bookmarkEnd w:id="119"/>
      <w:bookmarkEnd w:id="120"/>
      <w:bookmarkEnd w:id="121"/>
      <w:bookmarkEnd w:id="122"/>
    </w:p>
    <w:p>
      <w:pPr>
        <w:pStyle w:val="18"/>
        <w:spacing w:before="26"/>
        <w:ind w:firstLine="560" w:firstLineChars="200"/>
        <w:rPr>
          <w:color w:val="000000"/>
          <w:sz w:val="28"/>
        </w:rPr>
      </w:pPr>
      <w:r>
        <w:rPr>
          <w:rFonts w:hint="eastAsia"/>
          <w:color w:val="000000"/>
          <w:sz w:val="28"/>
        </w:rPr>
        <w:t>本项目主要噪声污染来自各类风机、泵类装置。</w:t>
      </w:r>
    </w:p>
    <w:p>
      <w:pPr>
        <w:pStyle w:val="18"/>
        <w:spacing w:before="26"/>
        <w:ind w:firstLine="560" w:firstLineChars="200"/>
        <w:rPr>
          <w:spacing w:val="8"/>
          <w:sz w:val="28"/>
        </w:rPr>
      </w:pPr>
      <w:r>
        <w:rPr>
          <w:rFonts w:hint="eastAsia"/>
          <w:color w:val="000000"/>
          <w:sz w:val="28"/>
        </w:rPr>
        <w:t>采取多种隔声、消声、吸声措施，如设置隔声操作控制室，使工人与噪声接触的时间和强度均减少；设备设置减震基座；高噪音设备通过墙壁隔声；合理配管，减少阀门和管道噪声；合理布置，防止噪声叠加和干扰，</w:t>
      </w:r>
      <w:r>
        <w:rPr>
          <w:rFonts w:hint="eastAsia"/>
          <w:spacing w:val="8"/>
          <w:sz w:val="28"/>
        </w:rPr>
        <w:t>减少噪声对环境的影响。</w:t>
      </w:r>
    </w:p>
    <w:p>
      <w:pPr>
        <w:pStyle w:val="4"/>
      </w:pPr>
      <w:bookmarkStart w:id="125" w:name="_Toc7641"/>
      <w:bookmarkStart w:id="126" w:name="_Toc8148"/>
      <w:bookmarkStart w:id="127" w:name="_Toc10468"/>
      <w:bookmarkStart w:id="128" w:name="_Toc29623"/>
      <w:bookmarkStart w:id="129" w:name="_Toc10221"/>
      <w:bookmarkStart w:id="130" w:name="_Toc32348"/>
      <w:r>
        <w:rPr>
          <w:rFonts w:hint="eastAsia"/>
        </w:rPr>
        <w:t>3.8.</w:t>
      </w:r>
      <w:bookmarkEnd w:id="125"/>
      <w:bookmarkEnd w:id="126"/>
      <w:bookmarkEnd w:id="127"/>
      <w:bookmarkEnd w:id="128"/>
      <w:r>
        <w:rPr>
          <w:rFonts w:hint="eastAsia"/>
          <w:lang w:val="en-US" w:eastAsia="zh-CN"/>
        </w:rPr>
        <w:t>2</w:t>
      </w:r>
      <w:r>
        <w:rPr>
          <w:rFonts w:hint="eastAsia"/>
        </w:rPr>
        <w:t>固体废物</w:t>
      </w:r>
      <w:bookmarkEnd w:id="129"/>
      <w:bookmarkEnd w:id="130"/>
    </w:p>
    <w:bookmarkEnd w:id="123"/>
    <w:bookmarkEnd w:id="124"/>
    <w:p>
      <w:pPr>
        <w:ind w:firstLine="592" w:firstLineChars="200"/>
        <w:rPr>
          <w:spacing w:val="8"/>
          <w:sz w:val="28"/>
          <w:szCs w:val="28"/>
        </w:rPr>
      </w:pPr>
      <w:bookmarkStart w:id="131" w:name="_Toc73431152"/>
      <w:bookmarkStart w:id="132" w:name="_Toc63825935"/>
      <w:bookmarkStart w:id="133" w:name="_Toc64714072"/>
      <w:bookmarkStart w:id="134" w:name="_Toc63588085"/>
      <w:bookmarkStart w:id="135" w:name="_Toc68939309"/>
      <w:bookmarkStart w:id="136" w:name="_Toc56918236"/>
      <w:bookmarkStart w:id="137" w:name="_Toc68516276"/>
      <w:bookmarkStart w:id="138" w:name="_Toc68937052"/>
      <w:bookmarkStart w:id="139" w:name="_Toc73183906"/>
      <w:bookmarkStart w:id="140" w:name="_Toc2748"/>
      <w:bookmarkStart w:id="141" w:name="_Toc20215"/>
      <w:bookmarkStart w:id="142" w:name="_Toc28022"/>
      <w:bookmarkStart w:id="143" w:name="_Toc125120780"/>
      <w:bookmarkStart w:id="144" w:name="_Toc242855117"/>
      <w:bookmarkStart w:id="145" w:name="_Toc346635710"/>
      <w:r>
        <w:rPr>
          <w:rFonts w:hint="eastAsia"/>
          <w:spacing w:val="8"/>
          <w:sz w:val="28"/>
          <w:szCs w:val="28"/>
        </w:rPr>
        <w:t>1、污泥</w:t>
      </w:r>
    </w:p>
    <w:p>
      <w:pPr>
        <w:pStyle w:val="18"/>
        <w:spacing w:before="26"/>
        <w:ind w:firstLine="560" w:firstLineChars="200"/>
        <w:rPr>
          <w:color w:val="000000"/>
          <w:sz w:val="28"/>
          <w:szCs w:val="28"/>
        </w:rPr>
      </w:pPr>
      <w:r>
        <w:rPr>
          <w:rFonts w:hint="eastAsia"/>
          <w:color w:val="000000"/>
          <w:sz w:val="28"/>
          <w:szCs w:val="28"/>
        </w:rPr>
        <w:t>污水处理系统各单元处理设施均有污泥产生，通过在隔油池，调节池，生化池，沉淀池，缓冲水池等设施底部设置积泥槽，安装多条排泥管，由污泥泵定期将池底污泥通过排泥管抽送至站外干化池，干化</w:t>
      </w:r>
      <w:r>
        <w:rPr>
          <w:rFonts w:hint="eastAsia"/>
          <w:color w:val="auto"/>
          <w:sz w:val="28"/>
          <w:szCs w:val="28"/>
        </w:rPr>
        <w:t>池由污水处理站的人员定期清理后拉运至红连、雁木西废渣场进行暂存。全年污泥产生量</w:t>
      </w:r>
      <w:r>
        <w:rPr>
          <w:rFonts w:hint="eastAsia"/>
          <w:color w:val="auto"/>
          <w:sz w:val="28"/>
          <w:szCs w:val="28"/>
          <w:lang w:val="en-US" w:eastAsia="zh-CN"/>
        </w:rPr>
        <w:t>约</w:t>
      </w:r>
      <w:r>
        <w:rPr>
          <w:rFonts w:hint="eastAsia"/>
          <w:color w:val="auto"/>
          <w:sz w:val="28"/>
          <w:szCs w:val="28"/>
        </w:rPr>
        <w:t>为1</w:t>
      </w:r>
      <w:r>
        <w:rPr>
          <w:rFonts w:hint="eastAsia"/>
          <w:color w:val="auto"/>
          <w:sz w:val="28"/>
          <w:szCs w:val="28"/>
          <w:lang w:val="en-US" w:eastAsia="zh-CN"/>
        </w:rPr>
        <w:t>0</w:t>
      </w:r>
      <w:r>
        <w:rPr>
          <w:rFonts w:hint="eastAsia"/>
          <w:color w:val="auto"/>
          <w:sz w:val="28"/>
          <w:szCs w:val="28"/>
        </w:rPr>
        <w:t>0m</w:t>
      </w:r>
      <w:r>
        <w:rPr>
          <w:rFonts w:hint="eastAsia"/>
          <w:color w:val="auto"/>
          <w:sz w:val="28"/>
          <w:szCs w:val="28"/>
          <w:vertAlign w:val="superscript"/>
        </w:rPr>
        <w:t>3</w:t>
      </w:r>
      <w:r>
        <w:rPr>
          <w:rFonts w:hint="eastAsia"/>
          <w:color w:val="auto"/>
          <w:sz w:val="28"/>
          <w:szCs w:val="28"/>
        </w:rPr>
        <w:t>/a。</w:t>
      </w:r>
    </w:p>
    <w:p>
      <w:pPr>
        <w:pStyle w:val="18"/>
        <w:spacing w:before="26"/>
        <w:ind w:firstLine="592" w:firstLineChars="200"/>
        <w:rPr>
          <w:sz w:val="28"/>
          <w:szCs w:val="28"/>
        </w:rPr>
      </w:pPr>
      <w:r>
        <w:rPr>
          <w:rFonts w:hint="eastAsia"/>
          <w:spacing w:val="8"/>
          <w:sz w:val="28"/>
          <w:szCs w:val="28"/>
        </w:rPr>
        <w:t>2</w:t>
      </w:r>
      <w:r>
        <w:rPr>
          <w:rFonts w:hint="eastAsia"/>
          <w:spacing w:val="8"/>
          <w:sz w:val="28"/>
          <w:szCs w:val="28"/>
          <w:lang w:eastAsia="zh-CN"/>
        </w:rPr>
        <w:t>、</w:t>
      </w:r>
      <w:r>
        <w:rPr>
          <w:rFonts w:hint="eastAsia"/>
          <w:sz w:val="28"/>
          <w:szCs w:val="28"/>
        </w:rPr>
        <w:t>生活垃圾</w:t>
      </w:r>
    </w:p>
    <w:p>
      <w:pPr>
        <w:ind w:firstLine="592" w:firstLineChars="200"/>
        <w:rPr>
          <w:spacing w:val="8"/>
          <w:sz w:val="28"/>
          <w:szCs w:val="28"/>
        </w:rPr>
      </w:pPr>
      <w:r>
        <w:rPr>
          <w:rFonts w:hint="eastAsia"/>
          <w:spacing w:val="8"/>
          <w:sz w:val="28"/>
          <w:szCs w:val="28"/>
        </w:rPr>
        <w:t>本项目技改后无新增工作人员，依托污水处理站原有工作人员，无额外生活垃圾产生。</w:t>
      </w:r>
    </w:p>
    <w:p>
      <w:pPr>
        <w:pStyle w:val="18"/>
        <w:spacing w:line="600" w:lineRule="auto"/>
        <w:outlineLvl w:val="2"/>
        <w:rPr>
          <w:b/>
          <w:bCs/>
          <w:spacing w:val="8"/>
          <w:sz w:val="32"/>
          <w:szCs w:val="28"/>
        </w:rPr>
      </w:pPr>
      <w:bookmarkStart w:id="146" w:name="_Toc15243"/>
      <w:bookmarkStart w:id="147" w:name="_Toc15107"/>
      <w:r>
        <w:rPr>
          <w:rFonts w:hint="eastAsia"/>
          <w:b/>
          <w:bCs/>
          <w:spacing w:val="8"/>
          <w:sz w:val="32"/>
          <w:szCs w:val="28"/>
        </w:rPr>
        <w:t>3.</w:t>
      </w:r>
      <w:r>
        <w:rPr>
          <w:rFonts w:hint="eastAsia"/>
          <w:b/>
          <w:bCs/>
          <w:spacing w:val="8"/>
          <w:sz w:val="32"/>
          <w:szCs w:val="28"/>
          <w:lang w:val="en-US" w:eastAsia="zh-CN"/>
        </w:rPr>
        <w:t>9</w:t>
      </w:r>
      <w:r>
        <w:rPr>
          <w:b/>
          <w:bCs/>
          <w:spacing w:val="8"/>
          <w:sz w:val="32"/>
          <w:szCs w:val="28"/>
        </w:rPr>
        <w:t>工程投资</w:t>
      </w:r>
      <w:bookmarkEnd w:id="146"/>
      <w:bookmarkEnd w:id="147"/>
      <w:bookmarkStart w:id="148" w:name="_Toc17887"/>
      <w:bookmarkStart w:id="149" w:name="_Toc2449"/>
      <w:bookmarkStart w:id="150" w:name="_Toc32501"/>
      <w:bookmarkStart w:id="151" w:name="_Toc7875"/>
    </w:p>
    <w:bookmarkEnd w:id="148"/>
    <w:bookmarkEnd w:id="149"/>
    <w:bookmarkEnd w:id="150"/>
    <w:bookmarkEnd w:id="151"/>
    <w:p>
      <w:pPr>
        <w:ind w:firstLine="592" w:firstLineChars="200"/>
        <w:rPr>
          <w:b/>
          <w:bCs/>
          <w:sz w:val="24"/>
        </w:rPr>
      </w:pPr>
      <w:bookmarkStart w:id="152" w:name="_Toc14420"/>
      <w:r>
        <w:rPr>
          <w:spacing w:val="8"/>
          <w:lang w:val="zh-CN"/>
        </w:rPr>
        <w:t>本</w:t>
      </w:r>
      <w:r>
        <w:rPr>
          <w:rFonts w:hint="eastAsia"/>
          <w:spacing w:val="8"/>
          <w:lang w:val="zh-CN"/>
        </w:rPr>
        <w:t>项目</w:t>
      </w:r>
      <w:r>
        <w:rPr>
          <w:rFonts w:hint="eastAsia"/>
          <w:spacing w:val="8"/>
          <w:lang w:val="en-US" w:eastAsia="zh-CN"/>
        </w:rPr>
        <w:t>设计总投资与</w:t>
      </w:r>
      <w:r>
        <w:rPr>
          <w:rFonts w:hint="eastAsia"/>
          <w:spacing w:val="8"/>
          <w:lang w:val="zh-CN"/>
        </w:rPr>
        <w:t>实际总投资</w:t>
      </w:r>
      <w:r>
        <w:rPr>
          <w:rFonts w:hint="eastAsia"/>
          <w:spacing w:val="8"/>
          <w:lang w:val="en-US" w:eastAsia="zh-CN"/>
        </w:rPr>
        <w:t>一致，</w:t>
      </w:r>
      <w:r>
        <w:rPr>
          <w:rFonts w:hint="eastAsia"/>
          <w:spacing w:val="8"/>
          <w:lang w:val="zh-CN"/>
        </w:rPr>
        <w:t>为</w:t>
      </w:r>
      <w:r>
        <w:rPr>
          <w:rFonts w:hint="eastAsia"/>
          <w:spacing w:val="8"/>
        </w:rPr>
        <w:t>2623.16</w:t>
      </w:r>
      <w:r>
        <w:rPr>
          <w:rFonts w:hint="eastAsia"/>
          <w:spacing w:val="8"/>
          <w:lang w:val="zh-CN"/>
        </w:rPr>
        <w:t>万元人民币，</w:t>
      </w:r>
      <w:r>
        <w:rPr>
          <w:rFonts w:hint="eastAsia"/>
          <w:spacing w:val="8"/>
        </w:rPr>
        <w:t>其中环保投资25万元</w:t>
      </w:r>
      <w:r>
        <w:rPr>
          <w:rFonts w:hint="eastAsia"/>
          <w:spacing w:val="8"/>
          <w:lang w:val="zh-CN"/>
        </w:rPr>
        <w:t>，</w:t>
      </w:r>
      <w:r>
        <w:rPr>
          <w:rFonts w:hint="eastAsia"/>
          <w:spacing w:val="8"/>
        </w:rPr>
        <w:t>详见表3-</w:t>
      </w:r>
      <w:r>
        <w:rPr>
          <w:rFonts w:hint="eastAsia"/>
          <w:spacing w:val="8"/>
          <w:lang w:val="en-US" w:eastAsia="zh-CN"/>
        </w:rPr>
        <w:t>5</w:t>
      </w:r>
      <w:r>
        <w:rPr>
          <w:spacing w:val="8"/>
          <w:lang w:val="zh-CN"/>
        </w:rPr>
        <w:t>。</w:t>
      </w:r>
      <w:bookmarkEnd w:id="152"/>
      <w:bookmarkStart w:id="153" w:name="_Toc84"/>
      <w:bookmarkStart w:id="154" w:name="_Toc6365"/>
      <w:bookmarkStart w:id="155" w:name="_Toc14916"/>
      <w:bookmarkStart w:id="156" w:name="_Toc1495"/>
    </w:p>
    <w:p>
      <w:pPr>
        <w:ind w:firstLine="482" w:firstLineChars="200"/>
        <w:rPr>
          <w:b/>
          <w:bCs/>
          <w:sz w:val="24"/>
        </w:rPr>
      </w:pPr>
      <w:r>
        <w:rPr>
          <w:b/>
          <w:bCs/>
          <w:sz w:val="24"/>
        </w:rPr>
        <w:t>表3-</w:t>
      </w:r>
      <w:r>
        <w:rPr>
          <w:rFonts w:hint="eastAsia"/>
          <w:b/>
          <w:bCs/>
          <w:sz w:val="24"/>
          <w:lang w:val="en-US" w:eastAsia="zh-CN"/>
        </w:rPr>
        <w:t xml:space="preserve">5 </w:t>
      </w:r>
      <w:r>
        <w:rPr>
          <w:rFonts w:hint="eastAsia"/>
          <w:b/>
          <w:bCs/>
          <w:sz w:val="24"/>
        </w:rPr>
        <w:t xml:space="preserve">            </w:t>
      </w:r>
      <w:r>
        <w:rPr>
          <w:b/>
          <w:bCs/>
          <w:sz w:val="24"/>
        </w:rPr>
        <w:t>环保设施建设和投资情况汇总表</w:t>
      </w:r>
      <w:bookmarkEnd w:id="153"/>
      <w:bookmarkEnd w:id="154"/>
      <w:bookmarkEnd w:id="155"/>
      <w:bookmarkEnd w:id="156"/>
    </w:p>
    <w:tbl>
      <w:tblPr>
        <w:tblStyle w:val="40"/>
        <w:tblW w:w="8522"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98"/>
        <w:gridCol w:w="4175"/>
        <w:gridCol w:w="1622"/>
        <w:gridCol w:w="1527"/>
      </w:tblGrid>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198" w:type="dxa"/>
            <w:vAlign w:val="center"/>
          </w:tcPr>
          <w:p>
            <w:pPr>
              <w:snapToGrid w:val="0"/>
              <w:spacing w:line="240" w:lineRule="auto"/>
              <w:jc w:val="center"/>
              <w:rPr>
                <w:spacing w:val="8"/>
                <w:sz w:val="24"/>
                <w:szCs w:val="22"/>
                <w:lang w:val="zh-CN"/>
              </w:rPr>
            </w:pPr>
            <w:r>
              <w:rPr>
                <w:spacing w:val="8"/>
                <w:sz w:val="24"/>
                <w:szCs w:val="22"/>
                <w:lang w:val="zh-CN"/>
              </w:rPr>
              <w:t>污染源</w:t>
            </w:r>
          </w:p>
        </w:tc>
        <w:tc>
          <w:tcPr>
            <w:tcW w:w="4175" w:type="dxa"/>
            <w:vAlign w:val="center"/>
          </w:tcPr>
          <w:p>
            <w:pPr>
              <w:snapToGrid w:val="0"/>
              <w:spacing w:line="240" w:lineRule="auto"/>
              <w:jc w:val="center"/>
              <w:rPr>
                <w:spacing w:val="8"/>
                <w:sz w:val="24"/>
                <w:szCs w:val="22"/>
                <w:lang w:val="zh-CN"/>
              </w:rPr>
            </w:pPr>
            <w:r>
              <w:rPr>
                <w:spacing w:val="8"/>
                <w:sz w:val="24"/>
                <w:szCs w:val="22"/>
                <w:lang w:val="zh-CN"/>
              </w:rPr>
              <w:t>主要设施/措施</w:t>
            </w:r>
          </w:p>
        </w:tc>
        <w:tc>
          <w:tcPr>
            <w:tcW w:w="1622" w:type="dxa"/>
            <w:tcBorders>
              <w:right w:val="single" w:color="auto" w:sz="4" w:space="0"/>
            </w:tcBorders>
            <w:vAlign w:val="center"/>
          </w:tcPr>
          <w:p>
            <w:pPr>
              <w:snapToGrid w:val="0"/>
              <w:spacing w:line="240" w:lineRule="auto"/>
              <w:jc w:val="center"/>
              <w:rPr>
                <w:spacing w:val="8"/>
                <w:sz w:val="24"/>
                <w:szCs w:val="22"/>
                <w:lang w:val="zh-CN"/>
              </w:rPr>
            </w:pPr>
            <w:r>
              <w:rPr>
                <w:rFonts w:hint="eastAsia"/>
                <w:spacing w:val="8"/>
                <w:sz w:val="24"/>
                <w:szCs w:val="22"/>
              </w:rPr>
              <w:t>设计</w:t>
            </w:r>
            <w:r>
              <w:rPr>
                <w:spacing w:val="8"/>
                <w:sz w:val="24"/>
                <w:szCs w:val="22"/>
                <w:lang w:val="zh-CN"/>
              </w:rPr>
              <w:t>投资</w:t>
            </w:r>
            <w:r>
              <w:rPr>
                <w:rFonts w:hint="eastAsia"/>
                <w:spacing w:val="8"/>
                <w:sz w:val="24"/>
                <w:szCs w:val="22"/>
                <w:lang w:val="zh-CN"/>
              </w:rPr>
              <w:t>（</w:t>
            </w:r>
            <w:r>
              <w:rPr>
                <w:spacing w:val="8"/>
                <w:sz w:val="24"/>
                <w:szCs w:val="22"/>
                <w:lang w:val="zh-CN"/>
              </w:rPr>
              <w:t>万元</w:t>
            </w:r>
            <w:r>
              <w:rPr>
                <w:rFonts w:hint="eastAsia"/>
                <w:spacing w:val="8"/>
                <w:sz w:val="24"/>
                <w:szCs w:val="22"/>
                <w:lang w:val="zh-CN"/>
              </w:rPr>
              <w:t>）</w:t>
            </w:r>
          </w:p>
        </w:tc>
        <w:tc>
          <w:tcPr>
            <w:tcW w:w="1527" w:type="dxa"/>
            <w:vAlign w:val="center"/>
          </w:tcPr>
          <w:p>
            <w:pPr>
              <w:snapToGrid w:val="0"/>
              <w:spacing w:line="240" w:lineRule="auto"/>
              <w:jc w:val="center"/>
            </w:pPr>
            <w:r>
              <w:rPr>
                <w:rFonts w:hint="eastAsia"/>
                <w:spacing w:val="8"/>
                <w:sz w:val="24"/>
                <w:szCs w:val="22"/>
              </w:rPr>
              <w:t>实际</w:t>
            </w:r>
            <w:r>
              <w:rPr>
                <w:spacing w:val="8"/>
                <w:sz w:val="24"/>
                <w:szCs w:val="22"/>
                <w:lang w:val="zh-CN"/>
              </w:rPr>
              <w:t>投资</w:t>
            </w:r>
            <w:r>
              <w:rPr>
                <w:rFonts w:hint="eastAsia"/>
                <w:spacing w:val="8"/>
                <w:sz w:val="24"/>
                <w:szCs w:val="22"/>
                <w:lang w:val="zh-CN"/>
              </w:rPr>
              <w:t>（</w:t>
            </w:r>
            <w:r>
              <w:rPr>
                <w:spacing w:val="8"/>
                <w:sz w:val="24"/>
                <w:szCs w:val="22"/>
                <w:lang w:val="zh-CN"/>
              </w:rPr>
              <w:t>万元</w:t>
            </w:r>
            <w:r>
              <w:rPr>
                <w:rFonts w:hint="eastAsia"/>
                <w:spacing w:val="8"/>
                <w:sz w:val="24"/>
                <w:szCs w:val="22"/>
                <w:lang w:val="zh-CN"/>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198" w:type="dxa"/>
            <w:vAlign w:val="center"/>
          </w:tcPr>
          <w:p>
            <w:pPr>
              <w:snapToGrid w:val="0"/>
              <w:spacing w:line="240" w:lineRule="auto"/>
              <w:jc w:val="center"/>
              <w:rPr>
                <w:spacing w:val="8"/>
                <w:sz w:val="24"/>
                <w:szCs w:val="22"/>
                <w:lang w:val="zh-CN"/>
              </w:rPr>
            </w:pPr>
            <w:r>
              <w:rPr>
                <w:rFonts w:hint="eastAsia"/>
                <w:spacing w:val="8"/>
                <w:sz w:val="24"/>
                <w:szCs w:val="22"/>
              </w:rPr>
              <w:t>废气</w:t>
            </w:r>
          </w:p>
        </w:tc>
        <w:tc>
          <w:tcPr>
            <w:tcW w:w="4175" w:type="dxa"/>
            <w:vAlign w:val="center"/>
          </w:tcPr>
          <w:p>
            <w:pPr>
              <w:snapToGrid w:val="0"/>
              <w:spacing w:line="240" w:lineRule="auto"/>
              <w:jc w:val="center"/>
              <w:rPr>
                <w:spacing w:val="8"/>
                <w:sz w:val="24"/>
                <w:szCs w:val="22"/>
                <w:lang w:val="zh-CN"/>
              </w:rPr>
            </w:pPr>
            <w:r>
              <w:rPr>
                <w:rFonts w:hint="eastAsia"/>
                <w:spacing w:val="8"/>
                <w:sz w:val="24"/>
                <w:szCs w:val="22"/>
                <w:lang w:val="zh-CN"/>
              </w:rPr>
              <w:t>围栏</w:t>
            </w:r>
          </w:p>
        </w:tc>
        <w:tc>
          <w:tcPr>
            <w:tcW w:w="1622" w:type="dxa"/>
            <w:tcBorders>
              <w:right w:val="single" w:color="auto" w:sz="4" w:space="0"/>
            </w:tcBorders>
            <w:vAlign w:val="center"/>
          </w:tcPr>
          <w:p>
            <w:pPr>
              <w:snapToGrid w:val="0"/>
              <w:spacing w:line="240" w:lineRule="auto"/>
              <w:jc w:val="center"/>
              <w:rPr>
                <w:spacing w:val="8"/>
                <w:sz w:val="24"/>
                <w:szCs w:val="22"/>
              </w:rPr>
            </w:pPr>
            <w:r>
              <w:rPr>
                <w:rFonts w:hint="eastAsia"/>
                <w:spacing w:val="8"/>
                <w:sz w:val="24"/>
                <w:szCs w:val="22"/>
                <w:lang w:val="zh-CN"/>
              </w:rPr>
              <w:t>2</w:t>
            </w:r>
          </w:p>
        </w:tc>
        <w:tc>
          <w:tcPr>
            <w:tcW w:w="1527" w:type="dxa"/>
            <w:vAlign w:val="center"/>
          </w:tcPr>
          <w:p>
            <w:pPr>
              <w:snapToGrid w:val="0"/>
              <w:spacing w:line="240" w:lineRule="auto"/>
              <w:jc w:val="center"/>
              <w:rPr>
                <w:spacing w:val="8"/>
                <w:sz w:val="24"/>
                <w:szCs w:val="22"/>
                <w:lang w:val="zh-CN"/>
              </w:rPr>
            </w:pPr>
            <w:r>
              <w:rPr>
                <w:rFonts w:hint="eastAsia"/>
                <w:spacing w:val="8"/>
                <w:sz w:val="24"/>
                <w:szCs w:val="22"/>
                <w:lang w:val="zh-CN"/>
              </w:rPr>
              <w:t>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198" w:type="dxa"/>
            <w:vMerge w:val="restart"/>
            <w:vAlign w:val="center"/>
          </w:tcPr>
          <w:p>
            <w:pPr>
              <w:snapToGrid w:val="0"/>
              <w:spacing w:line="240" w:lineRule="auto"/>
              <w:jc w:val="center"/>
              <w:rPr>
                <w:spacing w:val="8"/>
                <w:sz w:val="24"/>
                <w:szCs w:val="22"/>
              </w:rPr>
            </w:pPr>
            <w:r>
              <w:rPr>
                <w:rFonts w:hint="eastAsia"/>
                <w:spacing w:val="8"/>
                <w:sz w:val="24"/>
                <w:szCs w:val="22"/>
              </w:rPr>
              <w:t>废水</w:t>
            </w:r>
          </w:p>
        </w:tc>
        <w:tc>
          <w:tcPr>
            <w:tcW w:w="4175" w:type="dxa"/>
            <w:vAlign w:val="center"/>
          </w:tcPr>
          <w:p>
            <w:pPr>
              <w:snapToGrid w:val="0"/>
              <w:spacing w:line="240" w:lineRule="auto"/>
              <w:jc w:val="center"/>
              <w:rPr>
                <w:spacing w:val="8"/>
                <w:sz w:val="24"/>
                <w:szCs w:val="22"/>
                <w:lang w:val="zh-CN"/>
              </w:rPr>
            </w:pPr>
            <w:r>
              <w:rPr>
                <w:spacing w:val="8"/>
                <w:sz w:val="24"/>
                <w:szCs w:val="22"/>
                <w:lang w:val="zh-CN"/>
              </w:rPr>
              <w:t>地面硬化、防腐防渗（漏）措施</w:t>
            </w:r>
          </w:p>
        </w:tc>
        <w:tc>
          <w:tcPr>
            <w:tcW w:w="1622" w:type="dxa"/>
            <w:tcBorders>
              <w:right w:val="single" w:color="auto" w:sz="4" w:space="0"/>
            </w:tcBorders>
            <w:vAlign w:val="center"/>
          </w:tcPr>
          <w:p>
            <w:pPr>
              <w:snapToGrid w:val="0"/>
              <w:spacing w:line="240" w:lineRule="auto"/>
              <w:jc w:val="center"/>
              <w:rPr>
                <w:spacing w:val="8"/>
                <w:sz w:val="24"/>
                <w:szCs w:val="22"/>
              </w:rPr>
            </w:pPr>
            <w:r>
              <w:rPr>
                <w:spacing w:val="8"/>
                <w:sz w:val="24"/>
                <w:szCs w:val="22"/>
                <w:lang w:val="zh-CN"/>
              </w:rPr>
              <w:t>12</w:t>
            </w:r>
          </w:p>
        </w:tc>
        <w:tc>
          <w:tcPr>
            <w:tcW w:w="1527" w:type="dxa"/>
            <w:vAlign w:val="center"/>
          </w:tcPr>
          <w:p>
            <w:pPr>
              <w:snapToGrid w:val="0"/>
              <w:spacing w:line="240" w:lineRule="auto"/>
              <w:jc w:val="center"/>
              <w:rPr>
                <w:rFonts w:hint="eastAsia" w:eastAsia="宋体"/>
                <w:spacing w:val="8"/>
                <w:sz w:val="24"/>
                <w:szCs w:val="22"/>
                <w:lang w:val="zh-CN" w:eastAsia="zh-CN"/>
              </w:rPr>
            </w:pPr>
            <w:r>
              <w:rPr>
                <w:rFonts w:hint="eastAsia"/>
                <w:spacing w:val="8"/>
                <w:sz w:val="24"/>
                <w:szCs w:val="22"/>
                <w:lang w:val="en-US" w:eastAsia="zh-CN"/>
              </w:rPr>
              <w:t>13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198" w:type="dxa"/>
            <w:vMerge w:val="continue"/>
            <w:vAlign w:val="center"/>
          </w:tcPr>
          <w:p>
            <w:pPr>
              <w:snapToGrid w:val="0"/>
              <w:spacing w:line="240" w:lineRule="auto"/>
              <w:jc w:val="center"/>
              <w:rPr>
                <w:spacing w:val="8"/>
                <w:sz w:val="24"/>
                <w:szCs w:val="22"/>
                <w:lang w:val="zh-CN"/>
              </w:rPr>
            </w:pPr>
          </w:p>
        </w:tc>
        <w:tc>
          <w:tcPr>
            <w:tcW w:w="4175" w:type="dxa"/>
            <w:vAlign w:val="center"/>
          </w:tcPr>
          <w:p>
            <w:pPr>
              <w:snapToGrid w:val="0"/>
              <w:spacing w:line="240" w:lineRule="auto"/>
              <w:jc w:val="center"/>
              <w:rPr>
                <w:spacing w:val="8"/>
                <w:sz w:val="24"/>
                <w:szCs w:val="22"/>
                <w:lang w:val="zh-CN"/>
              </w:rPr>
            </w:pPr>
            <w:r>
              <w:rPr>
                <w:spacing w:val="8"/>
                <w:sz w:val="24"/>
                <w:szCs w:val="22"/>
                <w:lang w:val="zh-CN"/>
              </w:rPr>
              <w:t>污染因子总排管在线监测设施</w:t>
            </w:r>
          </w:p>
        </w:tc>
        <w:tc>
          <w:tcPr>
            <w:tcW w:w="1622" w:type="dxa"/>
            <w:tcBorders>
              <w:right w:val="single" w:color="auto" w:sz="4" w:space="0"/>
            </w:tcBorders>
            <w:vAlign w:val="center"/>
          </w:tcPr>
          <w:p>
            <w:pPr>
              <w:snapToGrid w:val="0"/>
              <w:spacing w:line="240" w:lineRule="auto"/>
              <w:jc w:val="center"/>
              <w:rPr>
                <w:spacing w:val="8"/>
                <w:sz w:val="24"/>
                <w:szCs w:val="22"/>
              </w:rPr>
            </w:pPr>
            <w:r>
              <w:rPr>
                <w:rFonts w:hint="eastAsia"/>
                <w:spacing w:val="8"/>
                <w:sz w:val="24"/>
                <w:szCs w:val="22"/>
                <w:lang w:val="zh-CN"/>
              </w:rPr>
              <w:t>5</w:t>
            </w:r>
          </w:p>
        </w:tc>
        <w:tc>
          <w:tcPr>
            <w:tcW w:w="1527" w:type="dxa"/>
            <w:vAlign w:val="center"/>
          </w:tcPr>
          <w:p>
            <w:pPr>
              <w:snapToGrid w:val="0"/>
              <w:spacing w:line="240" w:lineRule="auto"/>
              <w:jc w:val="center"/>
              <w:rPr>
                <w:spacing w:val="8"/>
                <w:sz w:val="24"/>
                <w:szCs w:val="22"/>
                <w:lang w:val="zh-CN"/>
              </w:rPr>
            </w:pPr>
            <w:r>
              <w:rPr>
                <w:rFonts w:hint="eastAsia"/>
                <w:spacing w:val="8"/>
                <w:sz w:val="24"/>
                <w:szCs w:val="22"/>
                <w:lang w:val="zh-CN"/>
              </w:rPr>
              <w:t>5</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06" w:hRule="atLeast"/>
          <w:jc w:val="center"/>
        </w:trPr>
        <w:tc>
          <w:tcPr>
            <w:tcW w:w="1198" w:type="dxa"/>
            <w:vAlign w:val="center"/>
          </w:tcPr>
          <w:p>
            <w:pPr>
              <w:snapToGrid w:val="0"/>
              <w:spacing w:line="240" w:lineRule="auto"/>
              <w:jc w:val="center"/>
              <w:rPr>
                <w:spacing w:val="8"/>
                <w:sz w:val="24"/>
                <w:szCs w:val="22"/>
              </w:rPr>
            </w:pPr>
            <w:r>
              <w:rPr>
                <w:rFonts w:hint="eastAsia"/>
                <w:spacing w:val="8"/>
                <w:sz w:val="24"/>
                <w:szCs w:val="22"/>
              </w:rPr>
              <w:t>噪声</w:t>
            </w:r>
          </w:p>
        </w:tc>
        <w:tc>
          <w:tcPr>
            <w:tcW w:w="4175" w:type="dxa"/>
            <w:vAlign w:val="center"/>
          </w:tcPr>
          <w:p>
            <w:pPr>
              <w:snapToGrid w:val="0"/>
              <w:spacing w:line="240" w:lineRule="auto"/>
              <w:jc w:val="center"/>
              <w:rPr>
                <w:spacing w:val="8"/>
                <w:sz w:val="24"/>
                <w:szCs w:val="22"/>
                <w:lang w:val="zh-CN"/>
              </w:rPr>
            </w:pPr>
            <w:r>
              <w:rPr>
                <w:spacing w:val="8"/>
                <w:sz w:val="24"/>
                <w:szCs w:val="22"/>
                <w:lang w:val="zh-CN"/>
              </w:rPr>
              <w:t>减振基座、厂房隔声</w:t>
            </w:r>
          </w:p>
        </w:tc>
        <w:tc>
          <w:tcPr>
            <w:tcW w:w="1622" w:type="dxa"/>
            <w:tcBorders>
              <w:right w:val="single" w:color="auto" w:sz="4" w:space="0"/>
            </w:tcBorders>
            <w:vAlign w:val="center"/>
          </w:tcPr>
          <w:p>
            <w:pPr>
              <w:snapToGrid w:val="0"/>
              <w:spacing w:line="240" w:lineRule="auto"/>
              <w:jc w:val="center"/>
              <w:rPr>
                <w:spacing w:val="8"/>
                <w:sz w:val="24"/>
                <w:szCs w:val="22"/>
              </w:rPr>
            </w:pPr>
            <w:r>
              <w:rPr>
                <w:rFonts w:hint="eastAsia"/>
                <w:spacing w:val="8"/>
                <w:sz w:val="24"/>
                <w:szCs w:val="22"/>
                <w:lang w:val="zh-CN"/>
              </w:rPr>
              <w:t>3</w:t>
            </w:r>
          </w:p>
        </w:tc>
        <w:tc>
          <w:tcPr>
            <w:tcW w:w="1527" w:type="dxa"/>
            <w:vAlign w:val="center"/>
          </w:tcPr>
          <w:p>
            <w:pPr>
              <w:snapToGrid w:val="0"/>
              <w:spacing w:line="240" w:lineRule="auto"/>
              <w:jc w:val="center"/>
              <w:rPr>
                <w:spacing w:val="8"/>
                <w:sz w:val="24"/>
                <w:szCs w:val="22"/>
                <w:lang w:val="zh-CN"/>
              </w:rPr>
            </w:pPr>
            <w:r>
              <w:rPr>
                <w:rFonts w:hint="eastAsia"/>
                <w:spacing w:val="8"/>
                <w:sz w:val="24"/>
                <w:szCs w:val="22"/>
                <w:lang w:val="zh-CN"/>
              </w:rPr>
              <w:t>3</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198" w:type="dxa"/>
            <w:vAlign w:val="center"/>
          </w:tcPr>
          <w:p>
            <w:pPr>
              <w:snapToGrid w:val="0"/>
              <w:spacing w:line="240" w:lineRule="auto"/>
              <w:jc w:val="center"/>
              <w:rPr>
                <w:spacing w:val="8"/>
                <w:sz w:val="24"/>
                <w:szCs w:val="22"/>
                <w:lang w:val="zh-CN"/>
              </w:rPr>
            </w:pPr>
            <w:r>
              <w:rPr>
                <w:rFonts w:hint="eastAsia"/>
                <w:spacing w:val="8"/>
                <w:sz w:val="24"/>
                <w:szCs w:val="22"/>
              </w:rPr>
              <w:t>固废</w:t>
            </w:r>
          </w:p>
        </w:tc>
        <w:tc>
          <w:tcPr>
            <w:tcW w:w="4175" w:type="dxa"/>
            <w:vAlign w:val="center"/>
          </w:tcPr>
          <w:p>
            <w:pPr>
              <w:snapToGrid w:val="0"/>
              <w:spacing w:line="240" w:lineRule="auto"/>
              <w:jc w:val="center"/>
              <w:rPr>
                <w:spacing w:val="8"/>
                <w:sz w:val="24"/>
                <w:szCs w:val="22"/>
                <w:lang w:val="zh-CN"/>
              </w:rPr>
            </w:pPr>
            <w:r>
              <w:rPr>
                <w:spacing w:val="8"/>
                <w:sz w:val="24"/>
                <w:szCs w:val="22"/>
                <w:lang w:val="zh-CN"/>
              </w:rPr>
              <w:t>垃圾收集与清运措施</w:t>
            </w:r>
          </w:p>
        </w:tc>
        <w:tc>
          <w:tcPr>
            <w:tcW w:w="1622" w:type="dxa"/>
            <w:tcBorders>
              <w:right w:val="single" w:color="auto" w:sz="4" w:space="0"/>
            </w:tcBorders>
            <w:vAlign w:val="center"/>
          </w:tcPr>
          <w:p>
            <w:pPr>
              <w:snapToGrid w:val="0"/>
              <w:spacing w:line="240" w:lineRule="auto"/>
              <w:jc w:val="center"/>
              <w:rPr>
                <w:spacing w:val="8"/>
                <w:sz w:val="24"/>
                <w:szCs w:val="22"/>
              </w:rPr>
            </w:pPr>
            <w:r>
              <w:rPr>
                <w:rFonts w:hint="eastAsia"/>
                <w:spacing w:val="8"/>
                <w:sz w:val="24"/>
                <w:szCs w:val="22"/>
                <w:lang w:val="zh-CN"/>
              </w:rPr>
              <w:t>1</w:t>
            </w:r>
          </w:p>
        </w:tc>
        <w:tc>
          <w:tcPr>
            <w:tcW w:w="1527" w:type="dxa"/>
            <w:vAlign w:val="center"/>
          </w:tcPr>
          <w:p>
            <w:pPr>
              <w:snapToGrid w:val="0"/>
              <w:spacing w:line="240" w:lineRule="auto"/>
              <w:jc w:val="center"/>
              <w:rPr>
                <w:rFonts w:hint="eastAsia" w:eastAsia="宋体"/>
                <w:spacing w:val="8"/>
                <w:sz w:val="24"/>
                <w:szCs w:val="22"/>
                <w:lang w:val="zh-CN" w:eastAsia="zh-CN"/>
              </w:rPr>
            </w:pPr>
            <w:r>
              <w:rPr>
                <w:rFonts w:hint="eastAsia"/>
                <w:spacing w:val="8"/>
                <w:sz w:val="24"/>
                <w:szCs w:val="22"/>
                <w:lang w:val="en-US" w:eastAsia="zh-CN"/>
              </w:rPr>
              <w:t>2</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198" w:type="dxa"/>
            <w:vAlign w:val="center"/>
          </w:tcPr>
          <w:p>
            <w:pPr>
              <w:snapToGrid w:val="0"/>
              <w:spacing w:line="240" w:lineRule="auto"/>
              <w:jc w:val="center"/>
              <w:rPr>
                <w:spacing w:val="8"/>
                <w:sz w:val="24"/>
                <w:szCs w:val="22"/>
                <w:lang w:val="zh-CN"/>
              </w:rPr>
            </w:pPr>
            <w:r>
              <w:rPr>
                <w:rFonts w:hint="eastAsia"/>
                <w:spacing w:val="8"/>
                <w:sz w:val="24"/>
                <w:szCs w:val="22"/>
              </w:rPr>
              <w:t>绿化</w:t>
            </w:r>
          </w:p>
        </w:tc>
        <w:tc>
          <w:tcPr>
            <w:tcW w:w="4175" w:type="dxa"/>
            <w:vAlign w:val="center"/>
          </w:tcPr>
          <w:p>
            <w:pPr>
              <w:snapToGrid w:val="0"/>
              <w:spacing w:line="240" w:lineRule="auto"/>
              <w:jc w:val="center"/>
              <w:rPr>
                <w:spacing w:val="8"/>
                <w:sz w:val="24"/>
                <w:szCs w:val="22"/>
                <w:lang w:val="zh-CN"/>
              </w:rPr>
            </w:pPr>
            <w:r>
              <w:rPr>
                <w:spacing w:val="8"/>
                <w:sz w:val="24"/>
                <w:szCs w:val="22"/>
                <w:lang w:val="zh-CN"/>
              </w:rPr>
              <w:t>厂区绿化及周边防护林带</w:t>
            </w:r>
          </w:p>
        </w:tc>
        <w:tc>
          <w:tcPr>
            <w:tcW w:w="1622" w:type="dxa"/>
            <w:tcBorders>
              <w:right w:val="single" w:color="auto" w:sz="4" w:space="0"/>
            </w:tcBorders>
            <w:vAlign w:val="center"/>
          </w:tcPr>
          <w:p>
            <w:pPr>
              <w:snapToGrid w:val="0"/>
              <w:spacing w:line="240" w:lineRule="auto"/>
              <w:jc w:val="center"/>
              <w:rPr>
                <w:spacing w:val="8"/>
                <w:sz w:val="24"/>
                <w:szCs w:val="22"/>
                <w:lang w:val="zh-CN"/>
              </w:rPr>
            </w:pPr>
            <w:r>
              <w:rPr>
                <w:rFonts w:hint="eastAsia"/>
                <w:spacing w:val="8"/>
                <w:sz w:val="24"/>
                <w:szCs w:val="22"/>
                <w:lang w:val="zh-CN"/>
              </w:rPr>
              <w:t>2</w:t>
            </w:r>
          </w:p>
        </w:tc>
        <w:tc>
          <w:tcPr>
            <w:tcW w:w="1527" w:type="dxa"/>
            <w:vAlign w:val="center"/>
          </w:tcPr>
          <w:p>
            <w:pPr>
              <w:snapToGrid w:val="0"/>
              <w:spacing w:line="240" w:lineRule="auto"/>
              <w:jc w:val="center"/>
              <w:rPr>
                <w:rFonts w:hint="eastAsia" w:eastAsia="宋体"/>
                <w:spacing w:val="8"/>
                <w:sz w:val="24"/>
                <w:szCs w:val="22"/>
                <w:lang w:val="zh-CN" w:eastAsia="zh-CN"/>
              </w:rPr>
            </w:pPr>
            <w:r>
              <w:rPr>
                <w:rFonts w:hint="eastAsia"/>
                <w:spacing w:val="8"/>
                <w:sz w:val="24"/>
                <w:szCs w:val="22"/>
                <w:lang w:val="en-US" w:eastAsia="zh-CN"/>
              </w:rPr>
              <w:t>/</w:t>
            </w:r>
          </w:p>
        </w:tc>
      </w:tr>
      <w:tr>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5373" w:type="dxa"/>
            <w:gridSpan w:val="2"/>
            <w:vAlign w:val="center"/>
          </w:tcPr>
          <w:p>
            <w:pPr>
              <w:snapToGrid w:val="0"/>
              <w:spacing w:line="240" w:lineRule="auto"/>
              <w:jc w:val="center"/>
              <w:rPr>
                <w:spacing w:val="8"/>
                <w:sz w:val="24"/>
                <w:szCs w:val="22"/>
                <w:lang w:val="zh-CN"/>
              </w:rPr>
            </w:pPr>
            <w:r>
              <w:rPr>
                <w:spacing w:val="8"/>
                <w:sz w:val="24"/>
                <w:szCs w:val="22"/>
                <w:lang w:val="zh-CN"/>
              </w:rPr>
              <w:t>合计</w:t>
            </w:r>
          </w:p>
        </w:tc>
        <w:tc>
          <w:tcPr>
            <w:tcW w:w="1622" w:type="dxa"/>
            <w:tcBorders>
              <w:right w:val="single" w:color="auto" w:sz="4" w:space="0"/>
            </w:tcBorders>
            <w:vAlign w:val="center"/>
          </w:tcPr>
          <w:p>
            <w:pPr>
              <w:snapToGrid w:val="0"/>
              <w:spacing w:line="240" w:lineRule="auto"/>
              <w:jc w:val="center"/>
              <w:rPr>
                <w:spacing w:val="8"/>
                <w:sz w:val="24"/>
                <w:szCs w:val="22"/>
              </w:rPr>
            </w:pPr>
            <w:r>
              <w:rPr>
                <w:rFonts w:hint="eastAsia"/>
                <w:spacing w:val="8"/>
                <w:sz w:val="24"/>
                <w:szCs w:val="22"/>
                <w:lang w:val="zh-CN"/>
              </w:rPr>
              <w:t>25</w:t>
            </w:r>
          </w:p>
        </w:tc>
        <w:tc>
          <w:tcPr>
            <w:tcW w:w="1527" w:type="dxa"/>
            <w:vAlign w:val="center"/>
          </w:tcPr>
          <w:p>
            <w:pPr>
              <w:snapToGrid w:val="0"/>
              <w:spacing w:line="240" w:lineRule="auto"/>
              <w:jc w:val="center"/>
              <w:rPr>
                <w:spacing w:val="8"/>
                <w:sz w:val="24"/>
                <w:szCs w:val="22"/>
                <w:lang w:val="zh-CN"/>
              </w:rPr>
            </w:pPr>
            <w:r>
              <w:rPr>
                <w:rFonts w:hint="eastAsia"/>
                <w:spacing w:val="8"/>
                <w:sz w:val="24"/>
                <w:szCs w:val="22"/>
                <w:lang w:val="zh-CN"/>
              </w:rPr>
              <w:t>25</w:t>
            </w:r>
          </w:p>
        </w:tc>
      </w:tr>
    </w:tbl>
    <w:p>
      <w:pPr>
        <w:ind w:firstLine="480"/>
        <w:rPr>
          <w:rStyle w:val="127"/>
        </w:rPr>
      </w:pPr>
      <w:r>
        <w:rPr>
          <w:rStyle w:val="127"/>
        </w:rPr>
        <w:br w:type="page"/>
      </w:r>
    </w:p>
    <w:p>
      <w:pPr>
        <w:spacing w:line="600" w:lineRule="auto"/>
        <w:outlineLvl w:val="0"/>
        <w:rPr>
          <w:b/>
          <w:szCs w:val="28"/>
        </w:rPr>
      </w:pPr>
      <w:bookmarkStart w:id="157" w:name="_Toc26034"/>
      <w:r>
        <w:rPr>
          <w:rStyle w:val="127"/>
          <w:rFonts w:hint="eastAsia"/>
        </w:rPr>
        <w:t>四</w:t>
      </w:r>
      <w:r>
        <w:rPr>
          <w:rStyle w:val="127"/>
        </w:rPr>
        <w:t>、</w:t>
      </w:r>
      <w:bookmarkEnd w:id="131"/>
      <w:bookmarkEnd w:id="132"/>
      <w:bookmarkEnd w:id="133"/>
      <w:bookmarkEnd w:id="134"/>
      <w:bookmarkEnd w:id="135"/>
      <w:bookmarkEnd w:id="136"/>
      <w:bookmarkEnd w:id="137"/>
      <w:bookmarkEnd w:id="138"/>
      <w:bookmarkEnd w:id="139"/>
      <w:r>
        <w:rPr>
          <w:rStyle w:val="127"/>
        </w:rPr>
        <w:t>环评结论和环评批复要求</w:t>
      </w:r>
      <w:bookmarkEnd w:id="140"/>
      <w:bookmarkEnd w:id="141"/>
      <w:bookmarkEnd w:id="142"/>
      <w:bookmarkEnd w:id="143"/>
      <w:bookmarkEnd w:id="144"/>
      <w:bookmarkEnd w:id="145"/>
      <w:bookmarkEnd w:id="157"/>
    </w:p>
    <w:p>
      <w:pPr>
        <w:pStyle w:val="3"/>
        <w:spacing w:line="600" w:lineRule="auto"/>
        <w:rPr>
          <w:bCs/>
          <w:sz w:val="32"/>
        </w:rPr>
      </w:pPr>
      <w:bookmarkStart w:id="158" w:name="_Toc7147"/>
      <w:bookmarkStart w:id="159" w:name="_Toc15776"/>
      <w:bookmarkStart w:id="160" w:name="_Toc242855118"/>
      <w:bookmarkStart w:id="161" w:name="_Toc125120781"/>
      <w:bookmarkStart w:id="162" w:name="_Toc346635711"/>
      <w:bookmarkStart w:id="163" w:name="_Toc9153"/>
      <w:bookmarkStart w:id="164" w:name="_Toc17860"/>
      <w:bookmarkStart w:id="165" w:name="_Toc655"/>
      <w:bookmarkStart w:id="166" w:name="_Toc63825936"/>
      <w:bookmarkStart w:id="167" w:name="_Toc73431153"/>
      <w:bookmarkStart w:id="168" w:name="_Toc68516277"/>
      <w:bookmarkStart w:id="169" w:name="_Toc63588086"/>
      <w:bookmarkStart w:id="170" w:name="_Toc68937053"/>
      <w:bookmarkStart w:id="171" w:name="_Toc68939310"/>
      <w:bookmarkStart w:id="172" w:name="_Toc73183907"/>
      <w:bookmarkStart w:id="173" w:name="_Toc56918237"/>
      <w:bookmarkStart w:id="174" w:name="_Toc64714073"/>
      <w:r>
        <w:rPr>
          <w:rFonts w:hint="eastAsia"/>
          <w:bCs/>
          <w:sz w:val="32"/>
        </w:rPr>
        <w:t>4</w:t>
      </w:r>
      <w:r>
        <w:rPr>
          <w:bCs/>
          <w:sz w:val="32"/>
        </w:rPr>
        <w:t>.1 环评主要结论及建议</w:t>
      </w:r>
      <w:bookmarkEnd w:id="158"/>
      <w:bookmarkEnd w:id="159"/>
      <w:bookmarkEnd w:id="160"/>
      <w:bookmarkEnd w:id="161"/>
      <w:bookmarkEnd w:id="162"/>
      <w:bookmarkEnd w:id="163"/>
      <w:bookmarkEnd w:id="164"/>
      <w:bookmarkEnd w:id="165"/>
    </w:p>
    <w:p>
      <w:pPr>
        <w:pStyle w:val="18"/>
        <w:spacing w:line="374" w:lineRule="auto"/>
        <w:ind w:right="268"/>
        <w:rPr>
          <w:b/>
          <w:bCs/>
          <w:color w:val="000000"/>
          <w:sz w:val="28"/>
          <w:szCs w:val="28"/>
        </w:rPr>
      </w:pPr>
      <w:bookmarkStart w:id="175" w:name="_Toc21502"/>
      <w:bookmarkStart w:id="176" w:name="_Toc24576"/>
      <w:bookmarkStart w:id="177" w:name="_Toc28603"/>
      <w:bookmarkStart w:id="178" w:name="_Toc16275"/>
      <w:bookmarkStart w:id="179" w:name="_Toc330389828"/>
      <w:bookmarkStart w:id="180" w:name="_Toc125120783"/>
      <w:bookmarkStart w:id="181" w:name="_Toc242855120"/>
      <w:bookmarkStart w:id="182" w:name="_Toc346635712"/>
      <w:bookmarkStart w:id="183" w:name="_Toc11957"/>
      <w:bookmarkStart w:id="184" w:name="_Toc25976"/>
      <w:bookmarkStart w:id="185" w:name="_Toc4925"/>
      <w:r>
        <w:rPr>
          <w:rFonts w:hint="eastAsia"/>
          <w:b/>
          <w:bCs/>
          <w:color w:val="000000"/>
          <w:sz w:val="28"/>
          <w:szCs w:val="28"/>
        </w:rPr>
        <w:t>4</w:t>
      </w:r>
      <w:r>
        <w:rPr>
          <w:b/>
          <w:bCs/>
          <w:color w:val="000000"/>
          <w:sz w:val="28"/>
          <w:szCs w:val="28"/>
        </w:rPr>
        <w:t>.1.</w:t>
      </w:r>
      <w:r>
        <w:rPr>
          <w:rFonts w:hint="eastAsia"/>
          <w:b/>
          <w:bCs/>
          <w:color w:val="000000"/>
          <w:sz w:val="28"/>
          <w:szCs w:val="28"/>
        </w:rPr>
        <w:t>1</w:t>
      </w:r>
      <w:r>
        <w:rPr>
          <w:b/>
          <w:bCs/>
          <w:color w:val="000000"/>
          <w:sz w:val="28"/>
          <w:szCs w:val="28"/>
        </w:rPr>
        <w:t xml:space="preserve"> 大气环境影响</w:t>
      </w:r>
    </w:p>
    <w:p>
      <w:pPr>
        <w:pStyle w:val="18"/>
        <w:ind w:right="266" w:firstLine="560" w:firstLineChars="200"/>
        <w:rPr>
          <w:color w:val="000000"/>
          <w:sz w:val="28"/>
          <w:szCs w:val="28"/>
        </w:rPr>
      </w:pPr>
      <w:r>
        <w:rPr>
          <w:rFonts w:hint="eastAsia"/>
          <w:color w:val="000000"/>
          <w:sz w:val="28"/>
          <w:szCs w:val="28"/>
        </w:rPr>
        <w:t>污水处理站主要是一个生化处理过程，本项目的各个处理池，均含有顶盖。采出水中的的H</w:t>
      </w:r>
      <w:r>
        <w:rPr>
          <w:rFonts w:hint="eastAsia"/>
          <w:color w:val="000000"/>
          <w:sz w:val="28"/>
          <w:szCs w:val="28"/>
          <w:vertAlign w:val="subscript"/>
        </w:rPr>
        <w:t>2</w:t>
      </w:r>
      <w:r>
        <w:rPr>
          <w:rFonts w:hint="eastAsia"/>
          <w:color w:val="000000"/>
          <w:sz w:val="28"/>
          <w:szCs w:val="28"/>
        </w:rPr>
        <w:t>S、NH</w:t>
      </w:r>
      <w:r>
        <w:rPr>
          <w:rFonts w:hint="eastAsia"/>
          <w:color w:val="000000"/>
          <w:sz w:val="28"/>
          <w:szCs w:val="28"/>
          <w:vertAlign w:val="subscript"/>
        </w:rPr>
        <w:t>3</w:t>
      </w:r>
      <w:r>
        <w:rPr>
          <w:rFonts w:hint="eastAsia"/>
          <w:color w:val="000000"/>
          <w:sz w:val="28"/>
          <w:szCs w:val="28"/>
        </w:rPr>
        <w:t>及非甲烷总烃挥发出的量较少，污水处理站周围较为空旷，对其废气扩散有利。对于污泥处理间采用通风处理，且周围敏感区距离项目相对较远，对周围环境影响很小。</w:t>
      </w:r>
    </w:p>
    <w:p>
      <w:pPr>
        <w:pStyle w:val="18"/>
        <w:spacing w:line="374" w:lineRule="auto"/>
        <w:ind w:right="268"/>
        <w:rPr>
          <w:b/>
          <w:bCs/>
          <w:color w:val="000000"/>
          <w:sz w:val="28"/>
          <w:szCs w:val="28"/>
        </w:rPr>
      </w:pPr>
      <w:r>
        <w:rPr>
          <w:rFonts w:hint="eastAsia"/>
          <w:b/>
          <w:bCs/>
          <w:color w:val="000000"/>
          <w:sz w:val="28"/>
          <w:szCs w:val="28"/>
        </w:rPr>
        <w:t>4</w:t>
      </w:r>
      <w:r>
        <w:rPr>
          <w:b/>
          <w:bCs/>
          <w:color w:val="000000"/>
          <w:sz w:val="28"/>
          <w:szCs w:val="28"/>
        </w:rPr>
        <w:t>.1.2 水环境影响</w:t>
      </w:r>
    </w:p>
    <w:p>
      <w:pPr>
        <w:pStyle w:val="18"/>
        <w:ind w:right="266" w:firstLine="560" w:firstLineChars="200"/>
        <w:rPr>
          <w:color w:val="000000"/>
          <w:sz w:val="28"/>
          <w:szCs w:val="28"/>
        </w:rPr>
      </w:pPr>
      <w:r>
        <w:rPr>
          <w:rFonts w:hint="eastAsia"/>
          <w:color w:val="000000"/>
          <w:sz w:val="28"/>
          <w:szCs w:val="28"/>
        </w:rPr>
        <w:t>本项目建成后，污水处理站可解决现有污水处理站处理采出水不达标的问题。污水处理站建设对改善注水水质起到了积极作用。</w:t>
      </w:r>
    </w:p>
    <w:p>
      <w:pPr>
        <w:pStyle w:val="18"/>
        <w:ind w:right="266" w:firstLine="560" w:firstLineChars="200"/>
        <w:rPr>
          <w:color w:val="000000"/>
          <w:sz w:val="28"/>
          <w:szCs w:val="28"/>
        </w:rPr>
      </w:pPr>
      <w:r>
        <w:rPr>
          <w:rFonts w:hint="eastAsia"/>
          <w:color w:val="000000"/>
          <w:sz w:val="28"/>
          <w:szCs w:val="28"/>
        </w:rPr>
        <w:t>本项目的采出水如出现泄漏对地下水环境（下游坎儿井）会造成不利影响。因此，在设计和施工中必须做好防腐防渗（漏）措施。防腐可采用钢筋混凝土管线，来输送采出水，可减少采出水对管线的腐蚀。</w:t>
      </w:r>
    </w:p>
    <w:p>
      <w:pPr>
        <w:pStyle w:val="18"/>
        <w:ind w:right="266" w:firstLine="560" w:firstLineChars="200"/>
        <w:rPr>
          <w:color w:val="000000"/>
          <w:sz w:val="28"/>
          <w:szCs w:val="28"/>
        </w:rPr>
      </w:pPr>
      <w:r>
        <w:rPr>
          <w:rFonts w:hint="eastAsia"/>
          <w:color w:val="000000"/>
          <w:sz w:val="28"/>
          <w:szCs w:val="28"/>
        </w:rPr>
        <w:t>防渗采用在压实原始地面之上采用三层处理法处理地基。在压实原始地之上采用三层处理法处理地基。</w:t>
      </w:r>
    </w:p>
    <w:p>
      <w:pPr>
        <w:pStyle w:val="18"/>
        <w:ind w:right="266" w:firstLine="560" w:firstLineChars="200"/>
        <w:rPr>
          <w:color w:val="000000"/>
          <w:sz w:val="28"/>
          <w:szCs w:val="28"/>
        </w:rPr>
      </w:pPr>
      <w:r>
        <w:rPr>
          <w:rFonts w:hint="eastAsia"/>
          <w:color w:val="000000"/>
          <w:sz w:val="28"/>
          <w:szCs w:val="28"/>
        </w:rPr>
        <w:t>输送出水的管线在破裂时，也会对项目区及下游的地下水造成影响，铺设在厂区内的输水管线也需要做严格的防腐防渗（漏）。</w:t>
      </w:r>
    </w:p>
    <w:p>
      <w:pPr>
        <w:pStyle w:val="18"/>
        <w:spacing w:line="374" w:lineRule="auto"/>
        <w:ind w:right="268"/>
        <w:rPr>
          <w:b/>
          <w:bCs/>
          <w:color w:val="000000"/>
          <w:sz w:val="28"/>
          <w:szCs w:val="28"/>
        </w:rPr>
      </w:pPr>
      <w:r>
        <w:rPr>
          <w:rFonts w:hint="eastAsia"/>
          <w:b/>
          <w:bCs/>
          <w:color w:val="000000"/>
          <w:sz w:val="28"/>
          <w:szCs w:val="28"/>
        </w:rPr>
        <w:t>4.1.3 固废影响</w:t>
      </w:r>
    </w:p>
    <w:p>
      <w:pPr>
        <w:pStyle w:val="18"/>
        <w:ind w:firstLine="560" w:firstLineChars="200"/>
        <w:rPr>
          <w:color w:val="000000"/>
          <w:sz w:val="28"/>
          <w:szCs w:val="28"/>
        </w:rPr>
      </w:pPr>
      <w:r>
        <w:rPr>
          <w:rFonts w:hint="eastAsia"/>
          <w:color w:val="000000"/>
          <w:sz w:val="28"/>
          <w:szCs w:val="28"/>
        </w:rPr>
        <w:t>项目含油污泥产生量约为143t/a，由集中处理站指定专人负责收集拉运至就近红连、雁木西废渣场暂存。</w:t>
      </w:r>
    </w:p>
    <w:p>
      <w:pPr>
        <w:pStyle w:val="18"/>
        <w:ind w:firstLine="560" w:firstLineChars="200"/>
        <w:rPr>
          <w:color w:val="000000"/>
          <w:sz w:val="28"/>
          <w:szCs w:val="28"/>
        </w:rPr>
      </w:pPr>
      <w:r>
        <w:rPr>
          <w:rFonts w:hint="eastAsia"/>
          <w:color w:val="000000"/>
          <w:sz w:val="28"/>
          <w:szCs w:val="28"/>
        </w:rPr>
        <w:t>生活垃圾产生量为1.46t/a。生活垃圾由神泉集中处理站其统一运至市垃圾收集点，由环卫部门处理。</w:t>
      </w:r>
    </w:p>
    <w:p>
      <w:pPr>
        <w:pStyle w:val="18"/>
        <w:spacing w:line="374" w:lineRule="auto"/>
        <w:ind w:right="268"/>
        <w:rPr>
          <w:b/>
          <w:bCs/>
          <w:color w:val="000000"/>
          <w:sz w:val="28"/>
          <w:szCs w:val="28"/>
        </w:rPr>
      </w:pPr>
      <w:r>
        <w:rPr>
          <w:rFonts w:hint="eastAsia"/>
          <w:b/>
          <w:bCs/>
          <w:color w:val="000000"/>
          <w:sz w:val="28"/>
          <w:szCs w:val="28"/>
        </w:rPr>
        <w:t>4.1.4 声环境影响</w:t>
      </w:r>
    </w:p>
    <w:p>
      <w:pPr>
        <w:pStyle w:val="18"/>
        <w:ind w:firstLine="560" w:firstLineChars="200"/>
        <w:rPr>
          <w:color w:val="000000"/>
          <w:sz w:val="28"/>
          <w:szCs w:val="28"/>
        </w:rPr>
      </w:pPr>
      <w:bookmarkStart w:id="186" w:name="_Toc365652071"/>
      <w:bookmarkStart w:id="187" w:name="_Toc323919967"/>
      <w:bookmarkStart w:id="188" w:name="_Toc315988604"/>
      <w:bookmarkStart w:id="189" w:name="_Toc441075263"/>
      <w:bookmarkStart w:id="190" w:name="_Toc440295657"/>
      <w:bookmarkStart w:id="191" w:name="_Toc440992681"/>
      <w:r>
        <w:rPr>
          <w:rFonts w:hint="eastAsia"/>
          <w:color w:val="000000"/>
          <w:sz w:val="28"/>
          <w:szCs w:val="28"/>
        </w:rPr>
        <w:t>根据项目现有噪声源强分析，拟建工程在设备的设计与选型上严格把关，控制噪声；高噪声源设备设计中采取减振、隔声、消声措施，优化厂区平面布置，厂界植树绿化等措施降噪，工程实施相应的噪声污染防治措施后，削减量可达18-20 dB(A)。项目运行期噪声对环境敏感点的影响很小。</w:t>
      </w:r>
    </w:p>
    <w:p>
      <w:pPr>
        <w:pStyle w:val="18"/>
        <w:spacing w:line="374" w:lineRule="auto"/>
        <w:ind w:right="268"/>
        <w:rPr>
          <w:b/>
          <w:bCs/>
          <w:color w:val="000000"/>
          <w:sz w:val="28"/>
          <w:szCs w:val="28"/>
        </w:rPr>
      </w:pPr>
      <w:r>
        <w:rPr>
          <w:rFonts w:hint="eastAsia"/>
          <w:b/>
          <w:bCs/>
          <w:color w:val="000000"/>
          <w:sz w:val="28"/>
          <w:szCs w:val="28"/>
        </w:rPr>
        <w:t xml:space="preserve">4.1.5 </w:t>
      </w:r>
      <w:bookmarkEnd w:id="186"/>
      <w:bookmarkEnd w:id="187"/>
      <w:bookmarkEnd w:id="188"/>
      <w:bookmarkStart w:id="192" w:name="_Toc365652072"/>
      <w:bookmarkStart w:id="193" w:name="_Toc315988605"/>
      <w:bookmarkStart w:id="194" w:name="_Toc323919968"/>
      <w:r>
        <w:rPr>
          <w:rFonts w:hint="eastAsia"/>
          <w:b/>
          <w:bCs/>
          <w:color w:val="000000"/>
          <w:sz w:val="28"/>
          <w:szCs w:val="28"/>
        </w:rPr>
        <w:t>清洁生产</w:t>
      </w:r>
      <w:bookmarkEnd w:id="189"/>
      <w:bookmarkEnd w:id="190"/>
      <w:bookmarkEnd w:id="191"/>
      <w:bookmarkEnd w:id="192"/>
      <w:bookmarkEnd w:id="193"/>
      <w:bookmarkEnd w:id="194"/>
    </w:p>
    <w:p>
      <w:pPr>
        <w:pStyle w:val="18"/>
        <w:ind w:firstLine="560" w:firstLineChars="200"/>
        <w:rPr>
          <w:color w:val="000000"/>
          <w:sz w:val="28"/>
          <w:szCs w:val="28"/>
        </w:rPr>
      </w:pPr>
      <w:bookmarkStart w:id="195" w:name="_Toc441075264"/>
      <w:bookmarkStart w:id="196" w:name="_Toc440295658"/>
      <w:bookmarkStart w:id="197" w:name="_Toc365652073"/>
      <w:bookmarkStart w:id="198" w:name="_Toc323919969"/>
      <w:bookmarkStart w:id="199" w:name="_Toc440992682"/>
      <w:bookmarkStart w:id="200" w:name="_Toc315988606"/>
      <w:r>
        <w:rPr>
          <w:rFonts w:hint="eastAsia"/>
          <w:color w:val="000000"/>
          <w:sz w:val="28"/>
          <w:szCs w:val="28"/>
        </w:rPr>
        <w:t>本项目较好地体现了清洁生产的原则。工程运行过程应加强各产污环节及事故工段的日常管理工作，建立相应的操作、管理章程。</w:t>
      </w:r>
    </w:p>
    <w:p>
      <w:pPr>
        <w:pStyle w:val="18"/>
        <w:spacing w:line="374" w:lineRule="auto"/>
        <w:ind w:right="268"/>
        <w:rPr>
          <w:b/>
          <w:bCs/>
          <w:color w:val="000000"/>
          <w:sz w:val="28"/>
          <w:szCs w:val="28"/>
        </w:rPr>
      </w:pPr>
      <w:r>
        <w:rPr>
          <w:rFonts w:hint="eastAsia"/>
          <w:b/>
          <w:bCs/>
          <w:color w:val="000000"/>
          <w:sz w:val="28"/>
          <w:szCs w:val="28"/>
        </w:rPr>
        <w:t>4.1.6 公众参与</w:t>
      </w:r>
      <w:bookmarkEnd w:id="195"/>
      <w:bookmarkEnd w:id="196"/>
      <w:bookmarkEnd w:id="197"/>
      <w:bookmarkEnd w:id="198"/>
      <w:bookmarkEnd w:id="199"/>
      <w:bookmarkEnd w:id="200"/>
    </w:p>
    <w:p>
      <w:pPr>
        <w:pStyle w:val="18"/>
        <w:ind w:firstLine="560" w:firstLineChars="200"/>
        <w:rPr>
          <w:color w:val="000000"/>
          <w:sz w:val="28"/>
          <w:szCs w:val="28"/>
        </w:rPr>
      </w:pPr>
      <w:bookmarkStart w:id="201" w:name="_Toc440295659"/>
      <w:bookmarkStart w:id="202" w:name="_Toc315988608"/>
      <w:bookmarkStart w:id="203" w:name="_Toc440992683"/>
      <w:bookmarkStart w:id="204" w:name="_Toc441075265"/>
      <w:bookmarkStart w:id="205" w:name="_Toc365652075"/>
      <w:bookmarkStart w:id="206" w:name="_Toc323919971"/>
      <w:r>
        <w:rPr>
          <w:rFonts w:hint="eastAsia"/>
          <w:color w:val="000000"/>
          <w:sz w:val="28"/>
          <w:szCs w:val="28"/>
        </w:rPr>
        <w:t>本次环评中开展的公众参与让有关部门和公众了解了本建设项目的具体内容，与相关部门和公众建立了良好的沟通和联系，并且让建设单位及管理部门了解了相关部门和公众所关心的问题，从而为项目今后的建设及管理提供了参考。同时，本次公众参与进一步提高了相关部门和公众的环保意识，增强了他们的环保责任感和参与精神。建议建设单位今后在项目的设计、施工和运行期间能够以不同的形式经常性地开展这方面的工作。</w:t>
      </w:r>
    </w:p>
    <w:p>
      <w:pPr>
        <w:pStyle w:val="18"/>
        <w:ind w:firstLine="560" w:firstLineChars="200"/>
        <w:rPr>
          <w:color w:val="000000"/>
          <w:sz w:val="28"/>
          <w:szCs w:val="28"/>
        </w:rPr>
      </w:pPr>
      <w:r>
        <w:rPr>
          <w:rFonts w:hint="eastAsia"/>
          <w:color w:val="000000"/>
          <w:sz w:val="28"/>
          <w:szCs w:val="28"/>
        </w:rPr>
        <w:t>评价区域公众绝大多数同意本项目建设。</w:t>
      </w:r>
    </w:p>
    <w:p>
      <w:pPr>
        <w:pStyle w:val="18"/>
        <w:spacing w:line="374" w:lineRule="auto"/>
        <w:ind w:right="268"/>
        <w:rPr>
          <w:b/>
          <w:bCs/>
          <w:color w:val="000000"/>
          <w:sz w:val="28"/>
          <w:szCs w:val="28"/>
        </w:rPr>
      </w:pPr>
      <w:r>
        <w:rPr>
          <w:rFonts w:hint="eastAsia"/>
          <w:b/>
          <w:bCs/>
          <w:color w:val="000000"/>
          <w:sz w:val="28"/>
          <w:szCs w:val="28"/>
        </w:rPr>
        <w:t>4.1.7综合结论</w:t>
      </w:r>
      <w:bookmarkEnd w:id="201"/>
      <w:bookmarkEnd w:id="202"/>
      <w:bookmarkEnd w:id="203"/>
      <w:bookmarkEnd w:id="204"/>
      <w:bookmarkEnd w:id="205"/>
      <w:bookmarkEnd w:id="206"/>
    </w:p>
    <w:p>
      <w:pPr>
        <w:adjustRightInd w:val="0"/>
        <w:snapToGrid w:val="0"/>
        <w:ind w:firstLine="560" w:firstLineChars="200"/>
        <w:outlineLvl w:val="1"/>
        <w:rPr>
          <w:color w:val="000000"/>
          <w:szCs w:val="28"/>
        </w:rPr>
      </w:pPr>
      <w:bookmarkStart w:id="207" w:name="_Toc12657"/>
      <w:bookmarkStart w:id="208" w:name="_Toc1300"/>
      <w:bookmarkStart w:id="209" w:name="_Toc389150456"/>
      <w:bookmarkStart w:id="210" w:name="_Toc460381659"/>
      <w:r>
        <w:rPr>
          <w:rFonts w:hint="eastAsia"/>
          <w:color w:val="000000"/>
          <w:szCs w:val="28"/>
        </w:rPr>
        <w:t>综合以上分析，得出结论为：本项目的建设是一项环保工程，它的建成从根本上改善了原污水处理站污水处理不达标的现状，对改善注水水质，具有十分重要的意义。所以，本项目的建设从环保角度分析是可行的。</w:t>
      </w:r>
      <w:bookmarkEnd w:id="207"/>
      <w:bookmarkEnd w:id="208"/>
    </w:p>
    <w:p>
      <w:pPr>
        <w:adjustRightInd w:val="0"/>
        <w:snapToGrid w:val="0"/>
        <w:outlineLvl w:val="1"/>
        <w:rPr>
          <w:b/>
          <w:color w:val="000000" w:themeColor="text1"/>
          <w:szCs w:val="28"/>
          <w14:textFill>
            <w14:solidFill>
              <w14:schemeClr w14:val="tx1"/>
            </w14:solidFill>
          </w14:textFill>
        </w:rPr>
      </w:pPr>
      <w:bookmarkStart w:id="211" w:name="_Toc27186"/>
      <w:bookmarkStart w:id="212" w:name="_Toc27577"/>
      <w:r>
        <w:rPr>
          <w:rFonts w:hint="eastAsia"/>
          <w:b/>
          <w:bCs/>
          <w:color w:val="000000" w:themeColor="text1"/>
          <w:szCs w:val="28"/>
          <w14:textFill>
            <w14:solidFill>
              <w14:schemeClr w14:val="tx1"/>
            </w14:solidFill>
          </w14:textFill>
        </w:rPr>
        <w:t>4.1.8</w:t>
      </w:r>
      <w:r>
        <w:rPr>
          <w:rFonts w:hint="eastAsia"/>
          <w:b/>
          <w:color w:val="000000" w:themeColor="text1"/>
          <w:szCs w:val="28"/>
          <w14:textFill>
            <w14:solidFill>
              <w14:schemeClr w14:val="tx1"/>
            </w14:solidFill>
          </w14:textFill>
        </w:rPr>
        <w:t>建议</w:t>
      </w:r>
      <w:bookmarkEnd w:id="209"/>
      <w:bookmarkEnd w:id="210"/>
      <w:bookmarkEnd w:id="211"/>
      <w:bookmarkEnd w:id="212"/>
    </w:p>
    <w:p>
      <w:pPr>
        <w:adjustRightInd w:val="0"/>
        <w:snapToGrid w:val="0"/>
        <w:ind w:firstLine="560" w:firstLineChars="200"/>
        <w:rPr>
          <w:color w:val="000000" w:themeColor="text1"/>
          <w:szCs w:val="28"/>
          <w:lang w:val="zh-CN"/>
          <w14:textFill>
            <w14:solidFill>
              <w14:schemeClr w14:val="tx1"/>
            </w14:solidFill>
          </w14:textFill>
        </w:rPr>
      </w:pPr>
      <w:r>
        <w:rPr>
          <w:rFonts w:hint="eastAsia"/>
          <w:color w:val="000000" w:themeColor="text1"/>
          <w:szCs w:val="28"/>
          <w14:textFill>
            <w14:solidFill>
              <w14:schemeClr w14:val="tx1"/>
            </w14:solidFill>
          </w14:textFill>
        </w:rPr>
        <w:t>1、</w:t>
      </w:r>
      <w:r>
        <w:rPr>
          <w:rFonts w:hint="eastAsia"/>
          <w:color w:val="000000" w:themeColor="text1"/>
          <w:szCs w:val="28"/>
          <w:lang w:val="zh-CN"/>
          <w14:textFill>
            <w14:solidFill>
              <w14:schemeClr w14:val="tx1"/>
            </w14:solidFill>
          </w14:textFill>
        </w:rPr>
        <w:t>对各场站各个污水处理池、阀门等设备进行定期检查、维修，及时发现问题，防止油气跑、冒、滴、漏的发生。</w:t>
      </w:r>
    </w:p>
    <w:p>
      <w:pPr>
        <w:ind w:firstLine="560" w:firstLineChars="200"/>
        <w:rPr>
          <w:color w:val="000000" w:themeColor="text1"/>
          <w:szCs w:val="28"/>
          <w:lang w:val="zh-CN"/>
          <w14:textFill>
            <w14:solidFill>
              <w14:schemeClr w14:val="tx1"/>
            </w14:solidFill>
          </w14:textFill>
        </w:rPr>
      </w:pPr>
      <w:r>
        <w:rPr>
          <w:rFonts w:hint="eastAsia"/>
          <w:color w:val="000000" w:themeColor="text1"/>
          <w:szCs w:val="28"/>
          <w14:textFill>
            <w14:solidFill>
              <w14:schemeClr w14:val="tx1"/>
            </w14:solidFill>
          </w14:textFill>
        </w:rPr>
        <w:t>2、</w:t>
      </w:r>
      <w:r>
        <w:rPr>
          <w:rFonts w:hint="eastAsia"/>
          <w:color w:val="000000" w:themeColor="text1"/>
          <w:szCs w:val="28"/>
          <w:lang w:val="zh-CN"/>
          <w14:textFill>
            <w14:solidFill>
              <w14:schemeClr w14:val="tx1"/>
            </w14:solidFill>
          </w14:textFill>
        </w:rPr>
        <w:t>在工程建设过程中，严格落实“三同时”管理制度，降低项目建成后对环境的影响。切实落实好各项环保设施的建设，加强对各项污染治理措施的监督和管理，确保其正常运行，使各类污染物均能达标排放。加强设备检修、开停车时的环境管理，减少检修、开停车时无组织排放。</w:t>
      </w:r>
    </w:p>
    <w:p>
      <w:pPr>
        <w:ind w:firstLine="560" w:firstLineChars="200"/>
        <w:rPr>
          <w:color w:val="000000" w:themeColor="text1"/>
          <w:szCs w:val="28"/>
          <w:lang w:val="zh-CN"/>
          <w14:textFill>
            <w14:solidFill>
              <w14:schemeClr w14:val="tx1"/>
            </w14:solidFill>
          </w14:textFill>
        </w:rPr>
      </w:pPr>
      <w:r>
        <w:rPr>
          <w:rFonts w:hint="eastAsia"/>
          <w:color w:val="000000" w:themeColor="text1"/>
          <w:szCs w:val="28"/>
          <w14:textFill>
            <w14:solidFill>
              <w14:schemeClr w14:val="tx1"/>
            </w14:solidFill>
          </w14:textFill>
        </w:rPr>
        <w:t>3、</w:t>
      </w:r>
      <w:r>
        <w:rPr>
          <w:rFonts w:hint="eastAsia"/>
          <w:color w:val="000000" w:themeColor="text1"/>
          <w:szCs w:val="28"/>
          <w:lang w:val="zh-CN"/>
          <w14:textFill>
            <w14:solidFill>
              <w14:schemeClr w14:val="tx1"/>
            </w14:solidFill>
          </w14:textFill>
        </w:rPr>
        <w:t>应加强对操作人员岗位培训，使其熟悉操作规程和技术，尤其是加强各污染物治理设备的操作与管理，保证去除效率。同时，严格贯彻安全生产各项规定，避免事故排放。</w:t>
      </w:r>
    </w:p>
    <w:p>
      <w:pPr>
        <w:pStyle w:val="61"/>
        <w:ind w:firstLine="560" w:firstLineChars="200"/>
        <w:rPr>
          <w:color w:val="000000" w:themeColor="text1"/>
          <w:szCs w:val="28"/>
          <w14:textFill>
            <w14:solidFill>
              <w14:schemeClr w14:val="tx1"/>
            </w14:solidFill>
          </w14:textFill>
        </w:rPr>
      </w:pPr>
      <w:r>
        <w:rPr>
          <w:rFonts w:hint="eastAsia"/>
          <w:color w:val="000000" w:themeColor="text1"/>
          <w:kern w:val="2"/>
          <w:szCs w:val="28"/>
          <w14:textFill>
            <w14:solidFill>
              <w14:schemeClr w14:val="tx1"/>
            </w14:solidFill>
          </w14:textFill>
        </w:rPr>
        <w:t>4、根据雁木西采油厂的出水水质可知，在处理后的污水可在出站口达到注水水质标准，但在各个注水井时又出现超标现象。根据调查可知，在输水管线中也含有一部分的污染物。在输送时，污染物又再次溶解至注水中，使得注水水质中的部分污染物超标。本环评建议根据管线运行状态对输水管线进行清洗，减少输水管线中的污染物。</w:t>
      </w:r>
    </w:p>
    <w:bookmarkEnd w:id="175"/>
    <w:bookmarkEnd w:id="176"/>
    <w:bookmarkEnd w:id="177"/>
    <w:bookmarkEnd w:id="178"/>
    <w:bookmarkEnd w:id="179"/>
    <w:p>
      <w:pPr>
        <w:pStyle w:val="18"/>
        <w:spacing w:line="600" w:lineRule="auto"/>
        <w:ind w:right="268"/>
        <w:outlineLvl w:val="1"/>
        <w:rPr>
          <w:b/>
          <w:bCs/>
          <w:color w:val="000000"/>
          <w:sz w:val="32"/>
          <w:szCs w:val="32"/>
        </w:rPr>
      </w:pPr>
      <w:bookmarkStart w:id="213" w:name="_Toc11820"/>
      <w:r>
        <w:rPr>
          <w:rFonts w:hint="eastAsia"/>
          <w:b/>
          <w:bCs/>
          <w:color w:val="000000"/>
          <w:sz w:val="32"/>
          <w:szCs w:val="32"/>
        </w:rPr>
        <w:t>4</w:t>
      </w:r>
      <w:r>
        <w:rPr>
          <w:b/>
          <w:bCs/>
          <w:color w:val="000000"/>
          <w:sz w:val="32"/>
          <w:szCs w:val="32"/>
        </w:rPr>
        <w:t>.2环评</w:t>
      </w:r>
      <w:bookmarkEnd w:id="180"/>
      <w:bookmarkEnd w:id="181"/>
      <w:r>
        <w:rPr>
          <w:b/>
          <w:bCs/>
          <w:color w:val="000000"/>
          <w:sz w:val="32"/>
          <w:szCs w:val="32"/>
        </w:rPr>
        <w:t>批复</w:t>
      </w:r>
      <w:bookmarkEnd w:id="182"/>
      <w:r>
        <w:rPr>
          <w:b/>
          <w:bCs/>
          <w:color w:val="000000"/>
          <w:sz w:val="32"/>
          <w:szCs w:val="32"/>
        </w:rPr>
        <w:t>要求</w:t>
      </w:r>
      <w:bookmarkEnd w:id="166"/>
      <w:bookmarkEnd w:id="167"/>
      <w:bookmarkEnd w:id="168"/>
      <w:bookmarkEnd w:id="169"/>
      <w:bookmarkEnd w:id="170"/>
      <w:bookmarkEnd w:id="171"/>
      <w:bookmarkEnd w:id="172"/>
      <w:bookmarkEnd w:id="173"/>
      <w:bookmarkEnd w:id="174"/>
      <w:bookmarkEnd w:id="183"/>
      <w:bookmarkEnd w:id="184"/>
      <w:bookmarkEnd w:id="185"/>
      <w:bookmarkEnd w:id="213"/>
      <w:bookmarkStart w:id="214" w:name="_Toc64714075"/>
      <w:bookmarkStart w:id="215" w:name="_Toc56918239"/>
      <w:bookmarkStart w:id="216" w:name="_Toc68937054"/>
      <w:bookmarkStart w:id="217" w:name="_Toc125120784"/>
      <w:bookmarkStart w:id="218" w:name="_Toc73431154"/>
      <w:bookmarkStart w:id="219" w:name="_Toc73183908"/>
      <w:bookmarkStart w:id="220" w:name="_Toc63825938"/>
      <w:bookmarkStart w:id="221" w:name="_Toc68516278"/>
      <w:bookmarkStart w:id="222" w:name="_Toc242855121"/>
      <w:bookmarkStart w:id="223" w:name="_Toc63588088"/>
      <w:bookmarkStart w:id="224" w:name="_Toc68939311"/>
    </w:p>
    <w:p>
      <w:pPr>
        <w:pStyle w:val="18"/>
        <w:ind w:firstLine="560" w:firstLineChars="200"/>
        <w:rPr>
          <w:color w:val="000000"/>
          <w:sz w:val="28"/>
          <w:szCs w:val="28"/>
        </w:rPr>
      </w:pPr>
      <w:r>
        <w:rPr>
          <w:rFonts w:hint="eastAsia"/>
          <w:color w:val="000000"/>
          <w:sz w:val="28"/>
          <w:szCs w:val="28"/>
        </w:rPr>
        <w:t>1、严格落实各项废气污染防治措施。采取池体上方设置顶盖，污泥脱水间设置通风设施并在车间内放置活性炭对恶臭进行吸附，污泥脱水后及时清运，定时清洗污泥脱水机等措施，确保污水处理系统厂界恶臭无组织排放符合《恶臭污染物排放标准》（GB14554-1993）中二级标准限值要求，非甲烷总烃无组织排放符合《大气污染物综合排放标准》（GB16297-1996）新污染源无组织排放监控浓度限制要求。</w:t>
      </w:r>
    </w:p>
    <w:p>
      <w:pPr>
        <w:pStyle w:val="18"/>
        <w:ind w:firstLine="560" w:firstLineChars="200"/>
        <w:rPr>
          <w:color w:val="000000"/>
          <w:sz w:val="28"/>
          <w:szCs w:val="28"/>
        </w:rPr>
      </w:pPr>
      <w:r>
        <w:rPr>
          <w:rFonts w:hint="eastAsia"/>
          <w:color w:val="000000"/>
          <w:sz w:val="28"/>
          <w:szCs w:val="28"/>
        </w:rPr>
        <w:t>2、严格落实水污染防治措施，项目处理后的净化水全部用于井下注水，不向外环境排放。加强废水循环利用，减少污染物产生量；严格落实污水处理设施防渗措施；强化污水管道防护措施，定期对管道接口检查、维修，防止跑冒滴漏现象发生，危险废物（污泥、油泥等）储存设专用储存间，落实防风、防雨、防渗漏、防腐措施；安装污水计量装置。通过采取以上措施，避免对地下水环境（坎儿井）造成污染。</w:t>
      </w:r>
    </w:p>
    <w:p>
      <w:pPr>
        <w:pStyle w:val="18"/>
        <w:ind w:firstLine="560" w:firstLineChars="200"/>
        <w:rPr>
          <w:color w:val="000000"/>
          <w:sz w:val="28"/>
          <w:szCs w:val="28"/>
        </w:rPr>
      </w:pPr>
      <w:r>
        <w:rPr>
          <w:rFonts w:hint="eastAsia"/>
          <w:color w:val="000000"/>
          <w:sz w:val="28"/>
          <w:szCs w:val="28"/>
        </w:rPr>
        <w:t>3、强化噪声污染防治措施。通过采取对机泵等设备加润滑油和减震垫等措施，确保厂界噪声满足《工业企业厂界环境噪声排放标准》(GB12348—2008)3类标准。</w:t>
      </w:r>
    </w:p>
    <w:p>
      <w:pPr>
        <w:pStyle w:val="18"/>
        <w:ind w:firstLine="560" w:firstLineChars="200"/>
        <w:rPr>
          <w:color w:val="000000"/>
          <w:sz w:val="28"/>
          <w:szCs w:val="28"/>
        </w:rPr>
      </w:pPr>
      <w:r>
        <w:rPr>
          <w:rFonts w:hint="eastAsia"/>
          <w:color w:val="000000"/>
          <w:sz w:val="28"/>
          <w:szCs w:val="28"/>
        </w:rPr>
        <w:t>4、加强固体废物的分类管理。运营期污泥运至红莲、雁木西废渣场临时储存场贮存，含油污泥的收集、贮存，运输必须符合《危险废物贮存污染控制标准》(GB18597—2001)、《危险废物收集、贮存、运输技术规范》(HJ2025—2012)和《危险废物转移联单管理办法》要求。</w:t>
      </w:r>
    </w:p>
    <w:p>
      <w:pPr>
        <w:pStyle w:val="18"/>
        <w:ind w:firstLine="560" w:firstLineChars="200"/>
        <w:rPr>
          <w:color w:val="000000"/>
          <w:sz w:val="28"/>
          <w:szCs w:val="28"/>
        </w:rPr>
      </w:pPr>
      <w:r>
        <w:rPr>
          <w:rFonts w:hint="eastAsia"/>
          <w:color w:val="000000"/>
          <w:sz w:val="28"/>
          <w:szCs w:val="28"/>
        </w:rPr>
        <w:t>5、加强项目环境风险防范，重点强化各池、等重点污染防治区防渗措施，按规范建设危险品储运设施，加强装卸区管理，确保不对项目区及下游土壤及地下水环境造成污染。制定事故状态下环境风险应急预案，建立与地方政府突发环境事故应急预案对接机制，形成联动具体实施方案，加强应急演练，落实污染防治措施，避免生产事故引发环境污染。</w:t>
      </w:r>
    </w:p>
    <w:p>
      <w:pPr>
        <w:pStyle w:val="18"/>
        <w:ind w:firstLine="560" w:firstLineChars="200"/>
        <w:rPr>
          <w:color w:val="000000"/>
          <w:sz w:val="28"/>
          <w:szCs w:val="28"/>
        </w:rPr>
      </w:pPr>
      <w:r>
        <w:rPr>
          <w:rFonts w:hint="eastAsia"/>
          <w:color w:val="000000"/>
          <w:sz w:val="28"/>
          <w:szCs w:val="28"/>
        </w:rPr>
        <w:t>6、积极开展清洁生产审核，降低水耗、能耗，逐步提高企业清洁生产水平，从源头减少污染物产生。</w:t>
      </w:r>
    </w:p>
    <w:p>
      <w:pPr>
        <w:pStyle w:val="18"/>
        <w:ind w:firstLine="560" w:firstLineChars="200"/>
        <w:rPr>
          <w:color w:val="000000"/>
          <w:sz w:val="28"/>
          <w:szCs w:val="28"/>
        </w:rPr>
      </w:pPr>
      <w:r>
        <w:rPr>
          <w:rFonts w:hint="eastAsia"/>
          <w:color w:val="000000"/>
          <w:sz w:val="28"/>
          <w:szCs w:val="28"/>
        </w:rPr>
        <w:t>7、开展项目环境监理，在施工招标文件、施工合同和工程监理合同文件中明确环保条款和责任。建立专项档案，定期向当地环保部门报告。</w:t>
      </w:r>
    </w:p>
    <w:p>
      <w:pPr>
        <w:pStyle w:val="18"/>
        <w:spacing w:line="374" w:lineRule="auto"/>
        <w:ind w:right="268"/>
        <w:rPr>
          <w:color w:val="000000"/>
          <w:sz w:val="28"/>
          <w:szCs w:val="28"/>
          <w:highlight w:val="yellow"/>
        </w:rPr>
      </w:pPr>
    </w:p>
    <w:p>
      <w:pPr>
        <w:pStyle w:val="18"/>
        <w:spacing w:line="374" w:lineRule="auto"/>
        <w:ind w:right="268"/>
        <w:rPr>
          <w:b/>
          <w:bCs/>
          <w:color w:val="000000"/>
          <w:sz w:val="28"/>
          <w:szCs w:val="28"/>
          <w:highlight w:val="yellow"/>
        </w:rPr>
      </w:pPr>
    </w:p>
    <w:p>
      <w:pPr>
        <w:pStyle w:val="2"/>
        <w:rPr>
          <w:color w:val="000000"/>
        </w:rPr>
      </w:pPr>
      <w:bookmarkStart w:id="225" w:name="_Toc19176"/>
      <w:bookmarkStart w:id="226" w:name="_Toc22511"/>
      <w:bookmarkStart w:id="227" w:name="_Toc24834"/>
      <w:bookmarkStart w:id="228" w:name="_Toc346635714"/>
      <w:r>
        <w:rPr>
          <w:rFonts w:hint="eastAsia"/>
          <w:color w:val="000000"/>
        </w:rPr>
        <w:br w:type="page"/>
      </w:r>
    </w:p>
    <w:p>
      <w:pPr>
        <w:pStyle w:val="2"/>
        <w:spacing w:line="600" w:lineRule="auto"/>
        <w:rPr>
          <w:color w:val="000000"/>
        </w:rPr>
      </w:pPr>
      <w:bookmarkStart w:id="229" w:name="_Toc7290"/>
      <w:r>
        <w:rPr>
          <w:rFonts w:hint="eastAsia"/>
          <w:color w:val="000000"/>
        </w:rPr>
        <w:t>五</w:t>
      </w:r>
      <w:r>
        <w:rPr>
          <w:color w:val="000000"/>
        </w:rPr>
        <w:t>、验收监测评价标准</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Start w:id="230" w:name="_Toc29896"/>
      <w:bookmarkStart w:id="231" w:name="_Toc21801"/>
      <w:bookmarkStart w:id="232" w:name="_Toc26509"/>
      <w:bookmarkStart w:id="233" w:name="_Toc20891"/>
      <w:bookmarkStart w:id="234" w:name="_Toc20056"/>
      <w:bookmarkStart w:id="235" w:name="_Toc30996"/>
    </w:p>
    <w:p>
      <w:pPr>
        <w:ind w:firstLine="576" w:firstLineChars="200"/>
      </w:pPr>
      <w:r>
        <w:rPr>
          <w:rFonts w:hint="eastAsia"/>
          <w:spacing w:val="4"/>
        </w:rPr>
        <w:t>本次验收监测各排放口污染物排放指标，依据新疆维吾尔自治区环境保护厅</w:t>
      </w:r>
      <w:r>
        <w:rPr>
          <w:spacing w:val="4"/>
        </w:rPr>
        <w:t>（</w:t>
      </w:r>
      <w:r>
        <w:rPr>
          <w:rFonts w:hint="eastAsia"/>
          <w:spacing w:val="4"/>
        </w:rPr>
        <w:t>新环函</w:t>
      </w:r>
      <w:r>
        <w:rPr>
          <w:spacing w:val="4"/>
        </w:rPr>
        <w:t>[201</w:t>
      </w:r>
      <w:r>
        <w:rPr>
          <w:rFonts w:hint="eastAsia"/>
          <w:spacing w:val="4"/>
        </w:rPr>
        <w:t>6</w:t>
      </w:r>
      <w:r>
        <w:rPr>
          <w:spacing w:val="4"/>
        </w:rPr>
        <w:t>]</w:t>
      </w:r>
      <w:r>
        <w:rPr>
          <w:rFonts w:hint="eastAsia"/>
          <w:spacing w:val="4"/>
        </w:rPr>
        <w:t>1720</w:t>
      </w:r>
      <w:r>
        <w:rPr>
          <w:spacing w:val="4"/>
        </w:rPr>
        <w:t>号）《</w:t>
      </w:r>
      <w:r>
        <w:rPr>
          <w:rFonts w:hint="eastAsia"/>
          <w:spacing w:val="4"/>
        </w:rPr>
        <w:t>关于中国石油吐哈油田神泉污水处理系统扩建项目</w:t>
      </w:r>
      <w:r>
        <w:rPr>
          <w:spacing w:val="4"/>
        </w:rPr>
        <w:t>环境影响报告书的批复》</w:t>
      </w:r>
      <w:r>
        <w:rPr>
          <w:rFonts w:hint="eastAsia"/>
          <w:spacing w:val="4"/>
        </w:rPr>
        <w:t>中污染物排放标准进行评价。</w:t>
      </w:r>
    </w:p>
    <w:p>
      <w:pPr>
        <w:pStyle w:val="3"/>
        <w:spacing w:line="600" w:lineRule="auto"/>
        <w:rPr>
          <w:bCs/>
          <w:sz w:val="32"/>
          <w:szCs w:val="32"/>
        </w:rPr>
      </w:pPr>
      <w:bookmarkStart w:id="236" w:name="_Toc21519"/>
      <w:bookmarkStart w:id="237" w:name="_Toc11888"/>
      <w:r>
        <w:rPr>
          <w:rFonts w:hint="eastAsia"/>
          <w:bCs/>
          <w:sz w:val="32"/>
          <w:szCs w:val="32"/>
        </w:rPr>
        <w:t>5.1 废气</w:t>
      </w:r>
      <w:bookmarkEnd w:id="236"/>
    </w:p>
    <w:bookmarkEnd w:id="237"/>
    <w:p>
      <w:pPr>
        <w:pStyle w:val="3"/>
        <w:spacing w:line="600" w:lineRule="auto"/>
        <w:rPr>
          <w:bCs/>
          <w:sz w:val="32"/>
          <w:szCs w:val="32"/>
        </w:rPr>
      </w:pPr>
      <w:bookmarkStart w:id="238" w:name="_Toc1144"/>
      <w:bookmarkStart w:id="239" w:name="_Toc23638"/>
      <w:r>
        <w:rPr>
          <w:rFonts w:hint="eastAsia"/>
          <w:bCs/>
          <w:sz w:val="32"/>
          <w:szCs w:val="32"/>
        </w:rPr>
        <w:t>5</w:t>
      </w:r>
      <w:r>
        <w:rPr>
          <w:bCs/>
          <w:sz w:val="32"/>
          <w:szCs w:val="32"/>
        </w:rPr>
        <w:t>.</w:t>
      </w:r>
      <w:bookmarkEnd w:id="230"/>
      <w:bookmarkEnd w:id="231"/>
      <w:bookmarkEnd w:id="232"/>
      <w:bookmarkEnd w:id="233"/>
      <w:bookmarkEnd w:id="234"/>
      <w:bookmarkEnd w:id="235"/>
      <w:bookmarkStart w:id="240" w:name="_Toc7689"/>
      <w:bookmarkStart w:id="241" w:name="_Toc22853"/>
      <w:bookmarkStart w:id="242" w:name="_Toc346635726"/>
      <w:bookmarkStart w:id="243" w:name="_Toc11810"/>
      <w:r>
        <w:rPr>
          <w:rFonts w:hint="eastAsia"/>
          <w:bCs/>
          <w:sz w:val="32"/>
          <w:szCs w:val="32"/>
          <w:lang w:val="en-US" w:eastAsia="zh-CN"/>
        </w:rPr>
        <w:t>1</w:t>
      </w:r>
      <w:r>
        <w:rPr>
          <w:bCs/>
          <w:sz w:val="32"/>
          <w:szCs w:val="32"/>
        </w:rPr>
        <w:t>噪声</w:t>
      </w:r>
      <w:bookmarkEnd w:id="238"/>
      <w:bookmarkEnd w:id="239"/>
    </w:p>
    <w:p>
      <w:pPr>
        <w:ind w:firstLine="560"/>
        <w:rPr>
          <w:b/>
          <w:sz w:val="24"/>
        </w:rPr>
      </w:pPr>
      <w:r>
        <w:rPr>
          <w:rFonts w:hint="eastAsia"/>
          <w:szCs w:val="28"/>
          <w:lang w:val="en-US" w:eastAsia="zh-CN"/>
        </w:rPr>
        <w:t>神泉联合站</w:t>
      </w:r>
      <w:r>
        <w:rPr>
          <w:szCs w:val="28"/>
        </w:rPr>
        <w:t>厂界噪声执行《工业企业厂界环境噪声排放标准》(GB 12348-2008)</w:t>
      </w:r>
      <w:r>
        <w:rPr>
          <w:rFonts w:hint="eastAsia"/>
          <w:szCs w:val="28"/>
        </w:rPr>
        <w:t>3</w:t>
      </w:r>
      <w:r>
        <w:rPr>
          <w:szCs w:val="28"/>
        </w:rPr>
        <w:t>类</w:t>
      </w:r>
      <w:r>
        <w:rPr>
          <w:rFonts w:hint="eastAsia"/>
          <w:szCs w:val="28"/>
        </w:rPr>
        <w:t>标准</w:t>
      </w:r>
      <w:r>
        <w:rPr>
          <w:szCs w:val="28"/>
        </w:rPr>
        <w:t>，具体标准限值见表</w:t>
      </w:r>
      <w:r>
        <w:rPr>
          <w:rFonts w:hint="eastAsia"/>
          <w:szCs w:val="28"/>
        </w:rPr>
        <w:t>5</w:t>
      </w:r>
      <w:r>
        <w:rPr>
          <w:szCs w:val="28"/>
        </w:rPr>
        <w:t>-</w:t>
      </w:r>
      <w:r>
        <w:rPr>
          <w:rFonts w:hint="eastAsia"/>
          <w:szCs w:val="28"/>
          <w:lang w:val="en-US" w:eastAsia="zh-CN"/>
        </w:rPr>
        <w:t>1</w:t>
      </w:r>
      <w:r>
        <w:rPr>
          <w:szCs w:val="28"/>
        </w:rPr>
        <w:t>。</w:t>
      </w:r>
    </w:p>
    <w:p>
      <w:pPr>
        <w:tabs>
          <w:tab w:val="left" w:pos="1352"/>
        </w:tabs>
        <w:ind w:firstLine="482" w:firstLineChars="200"/>
        <w:rPr>
          <w:bCs/>
          <w:szCs w:val="28"/>
        </w:rPr>
      </w:pPr>
      <w:r>
        <w:rPr>
          <w:b/>
          <w:sz w:val="24"/>
        </w:rPr>
        <w:t>表</w:t>
      </w:r>
      <w:r>
        <w:rPr>
          <w:rFonts w:hint="eastAsia"/>
          <w:b/>
          <w:sz w:val="24"/>
        </w:rPr>
        <w:t>5</w:t>
      </w:r>
      <w:r>
        <w:rPr>
          <w:b/>
          <w:sz w:val="24"/>
        </w:rPr>
        <w:t>-</w:t>
      </w:r>
      <w:r>
        <w:rPr>
          <w:rFonts w:hint="eastAsia"/>
          <w:b/>
          <w:sz w:val="24"/>
          <w:lang w:val="en-US" w:eastAsia="zh-CN"/>
        </w:rPr>
        <w:t xml:space="preserve">1           </w:t>
      </w:r>
      <w:r>
        <w:rPr>
          <w:b/>
          <w:sz w:val="24"/>
        </w:rPr>
        <w:t xml:space="preserve">工业企业厂界环境噪声排放限值      </w:t>
      </w:r>
    </w:p>
    <w:tbl>
      <w:tblPr>
        <w:tblStyle w:val="40"/>
        <w:tblW w:w="852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9"/>
        <w:gridCol w:w="423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9" w:type="dxa"/>
            <w:vAlign w:val="center"/>
          </w:tcPr>
          <w:p>
            <w:pPr>
              <w:spacing w:line="240" w:lineRule="auto"/>
              <w:jc w:val="center"/>
              <w:rPr>
                <w:bCs/>
                <w:sz w:val="24"/>
              </w:rPr>
            </w:pPr>
            <w:r>
              <w:rPr>
                <w:sz w:val="24"/>
              </w:rPr>
              <w:t>项目</w:t>
            </w:r>
          </w:p>
        </w:tc>
        <w:tc>
          <w:tcPr>
            <w:tcW w:w="4233" w:type="dxa"/>
            <w:vAlign w:val="center"/>
          </w:tcPr>
          <w:p>
            <w:pPr>
              <w:spacing w:line="240" w:lineRule="auto"/>
              <w:jc w:val="center"/>
              <w:rPr>
                <w:bCs/>
                <w:sz w:val="24"/>
              </w:rPr>
            </w:pPr>
            <w:r>
              <w:rPr>
                <w:sz w:val="24"/>
              </w:rPr>
              <w:t>标准限值</w:t>
            </w:r>
            <w:r>
              <w:rPr>
                <w:bCs/>
                <w:sz w:val="24"/>
              </w:rPr>
              <w:t xml:space="preserve">[dB(A)]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9" w:type="dxa"/>
            <w:vAlign w:val="center"/>
          </w:tcPr>
          <w:p>
            <w:pPr>
              <w:spacing w:line="240" w:lineRule="auto"/>
              <w:jc w:val="center"/>
              <w:rPr>
                <w:bCs/>
                <w:sz w:val="24"/>
              </w:rPr>
            </w:pPr>
            <w:r>
              <w:rPr>
                <w:sz w:val="24"/>
              </w:rPr>
              <w:t>昼间噪声</w:t>
            </w:r>
          </w:p>
        </w:tc>
        <w:tc>
          <w:tcPr>
            <w:tcW w:w="4233" w:type="dxa"/>
            <w:vAlign w:val="center"/>
          </w:tcPr>
          <w:p>
            <w:pPr>
              <w:spacing w:line="240" w:lineRule="auto"/>
              <w:jc w:val="center"/>
              <w:rPr>
                <w:bCs/>
                <w:sz w:val="24"/>
              </w:rPr>
            </w:pPr>
            <w:r>
              <w:rPr>
                <w:rFonts w:hint="eastAsia"/>
                <w:sz w:val="24"/>
              </w:rPr>
              <w:t>65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89" w:type="dxa"/>
            <w:vAlign w:val="center"/>
          </w:tcPr>
          <w:p>
            <w:pPr>
              <w:spacing w:line="240" w:lineRule="auto"/>
              <w:jc w:val="center"/>
              <w:rPr>
                <w:bCs/>
                <w:sz w:val="24"/>
              </w:rPr>
            </w:pPr>
            <w:r>
              <w:rPr>
                <w:sz w:val="24"/>
              </w:rPr>
              <w:t>夜间噪声</w:t>
            </w:r>
          </w:p>
        </w:tc>
        <w:tc>
          <w:tcPr>
            <w:tcW w:w="4233" w:type="dxa"/>
            <w:vAlign w:val="center"/>
          </w:tcPr>
          <w:p>
            <w:pPr>
              <w:spacing w:line="240" w:lineRule="auto"/>
              <w:jc w:val="center"/>
              <w:rPr>
                <w:bCs/>
                <w:sz w:val="24"/>
              </w:rPr>
            </w:pPr>
            <w:r>
              <w:rPr>
                <w:rFonts w:hint="eastAsia"/>
                <w:sz w:val="24"/>
              </w:rPr>
              <w:t>55</w:t>
            </w:r>
          </w:p>
        </w:tc>
      </w:tr>
    </w:tbl>
    <w:p>
      <w:pPr>
        <w:pStyle w:val="2"/>
        <w:spacing w:before="240" w:after="120"/>
        <w:rPr>
          <w:bCs w:val="0"/>
          <w:szCs w:val="32"/>
        </w:rPr>
      </w:pPr>
      <w:r>
        <w:rPr>
          <w:bCs w:val="0"/>
          <w:szCs w:val="32"/>
        </w:rPr>
        <w:br w:type="page"/>
      </w:r>
    </w:p>
    <w:p>
      <w:pPr>
        <w:pStyle w:val="2"/>
        <w:spacing w:line="600" w:lineRule="auto"/>
        <w:rPr>
          <w:bCs w:val="0"/>
          <w:szCs w:val="32"/>
        </w:rPr>
      </w:pPr>
      <w:bookmarkStart w:id="244" w:name="_Toc31625"/>
      <w:r>
        <w:rPr>
          <w:rFonts w:hint="eastAsia"/>
          <w:bCs w:val="0"/>
          <w:szCs w:val="32"/>
        </w:rPr>
        <w:t>六</w:t>
      </w:r>
      <w:r>
        <w:rPr>
          <w:bCs w:val="0"/>
          <w:szCs w:val="32"/>
        </w:rPr>
        <w:t>、</w:t>
      </w:r>
      <w:bookmarkEnd w:id="240"/>
      <w:bookmarkEnd w:id="241"/>
      <w:bookmarkEnd w:id="242"/>
      <w:bookmarkEnd w:id="243"/>
      <w:r>
        <w:rPr>
          <w:rFonts w:hint="eastAsia"/>
          <w:bCs w:val="0"/>
          <w:szCs w:val="32"/>
        </w:rPr>
        <w:t>监测分析方法及质量保证</w:t>
      </w:r>
      <w:bookmarkEnd w:id="244"/>
    </w:p>
    <w:p>
      <w:pPr>
        <w:pStyle w:val="3"/>
        <w:spacing w:line="600" w:lineRule="auto"/>
        <w:rPr>
          <w:bCs/>
          <w:sz w:val="32"/>
          <w:szCs w:val="32"/>
        </w:rPr>
      </w:pPr>
      <w:bookmarkStart w:id="245" w:name="_Toc17494"/>
      <w:bookmarkStart w:id="246" w:name="_Toc9387"/>
      <w:bookmarkStart w:id="247" w:name="_Toc7073"/>
      <w:bookmarkStart w:id="248" w:name="_Toc18123"/>
      <w:bookmarkStart w:id="249" w:name="_Toc18349"/>
      <w:r>
        <w:rPr>
          <w:rFonts w:hint="eastAsia"/>
          <w:bCs/>
          <w:sz w:val="32"/>
          <w:szCs w:val="32"/>
        </w:rPr>
        <w:t>6.1 监测分析方法</w:t>
      </w:r>
      <w:bookmarkEnd w:id="245"/>
    </w:p>
    <w:p>
      <w:pPr>
        <w:ind w:firstLine="560"/>
        <w:rPr>
          <w:szCs w:val="28"/>
        </w:rPr>
      </w:pPr>
      <w:r>
        <w:rPr>
          <w:rFonts w:hint="eastAsia"/>
          <w:szCs w:val="28"/>
        </w:rPr>
        <w:t xml:space="preserve">本次验收监测采用的分析方法见表 6-1。 </w:t>
      </w:r>
    </w:p>
    <w:p>
      <w:pPr>
        <w:ind w:firstLine="482" w:firstLineChars="200"/>
        <w:rPr>
          <w:b/>
          <w:bCs/>
          <w:sz w:val="24"/>
        </w:rPr>
      </w:pPr>
      <w:r>
        <w:rPr>
          <w:rFonts w:hint="eastAsia"/>
          <w:b/>
          <w:bCs/>
          <w:sz w:val="24"/>
        </w:rPr>
        <w:t>表 6-</w:t>
      </w:r>
      <w:r>
        <w:rPr>
          <w:rFonts w:hint="eastAsia"/>
          <w:b/>
          <w:bCs/>
          <w:sz w:val="24"/>
          <w:lang w:val="en-US" w:eastAsia="zh-CN"/>
        </w:rPr>
        <w:t>1</w:t>
      </w:r>
      <w:r>
        <w:rPr>
          <w:rFonts w:hint="eastAsia"/>
          <w:b/>
          <w:bCs/>
          <w:sz w:val="24"/>
        </w:rPr>
        <w:t xml:space="preserve">                 噪声监测方法</w:t>
      </w:r>
    </w:p>
    <w:tbl>
      <w:tblPr>
        <w:tblStyle w:val="41"/>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203"/>
        <w:gridCol w:w="4050"/>
        <w:gridCol w:w="25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spacing w:line="240" w:lineRule="auto"/>
              <w:jc w:val="center"/>
              <w:rPr>
                <w:color w:val="000000"/>
                <w:sz w:val="24"/>
                <w:szCs w:val="28"/>
              </w:rPr>
            </w:pPr>
            <w:r>
              <w:rPr>
                <w:rFonts w:hint="eastAsia"/>
                <w:color w:val="000000"/>
                <w:sz w:val="24"/>
                <w:szCs w:val="28"/>
              </w:rPr>
              <w:t>序号</w:t>
            </w:r>
          </w:p>
        </w:tc>
        <w:tc>
          <w:tcPr>
            <w:tcW w:w="1203" w:type="dxa"/>
            <w:vAlign w:val="center"/>
          </w:tcPr>
          <w:p>
            <w:pPr>
              <w:spacing w:line="240" w:lineRule="auto"/>
              <w:jc w:val="center"/>
              <w:rPr>
                <w:color w:val="000000"/>
                <w:sz w:val="24"/>
                <w:szCs w:val="28"/>
              </w:rPr>
            </w:pPr>
            <w:r>
              <w:rPr>
                <w:rFonts w:hint="eastAsia"/>
                <w:color w:val="000000"/>
                <w:sz w:val="24"/>
                <w:szCs w:val="28"/>
              </w:rPr>
              <w:t>监测项目</w:t>
            </w:r>
          </w:p>
        </w:tc>
        <w:tc>
          <w:tcPr>
            <w:tcW w:w="4050" w:type="dxa"/>
            <w:vAlign w:val="center"/>
          </w:tcPr>
          <w:p>
            <w:pPr>
              <w:spacing w:line="240" w:lineRule="auto"/>
              <w:jc w:val="center"/>
              <w:rPr>
                <w:color w:val="000000"/>
                <w:sz w:val="24"/>
                <w:szCs w:val="28"/>
              </w:rPr>
            </w:pPr>
            <w:r>
              <w:rPr>
                <w:rFonts w:hint="eastAsia"/>
                <w:color w:val="000000"/>
                <w:sz w:val="24"/>
                <w:szCs w:val="28"/>
              </w:rPr>
              <w:t>分析方法</w:t>
            </w:r>
          </w:p>
        </w:tc>
        <w:tc>
          <w:tcPr>
            <w:tcW w:w="2561" w:type="dxa"/>
            <w:vAlign w:val="center"/>
          </w:tcPr>
          <w:p>
            <w:pPr>
              <w:spacing w:line="240" w:lineRule="auto"/>
              <w:jc w:val="center"/>
              <w:rPr>
                <w:color w:val="000000"/>
                <w:sz w:val="24"/>
                <w:szCs w:val="28"/>
              </w:rPr>
            </w:pPr>
            <w:r>
              <w:rPr>
                <w:rFonts w:hint="eastAsia"/>
                <w:color w:val="000000"/>
                <w:sz w:val="24"/>
                <w:szCs w:val="28"/>
              </w:rPr>
              <w:t>分析方法标准号或来源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8" w:type="dxa"/>
            <w:vAlign w:val="center"/>
          </w:tcPr>
          <w:p>
            <w:pPr>
              <w:spacing w:line="240" w:lineRule="auto"/>
              <w:jc w:val="center"/>
              <w:rPr>
                <w:color w:val="000000"/>
                <w:kern w:val="0"/>
                <w:sz w:val="24"/>
              </w:rPr>
            </w:pPr>
            <w:r>
              <w:rPr>
                <w:rFonts w:hint="eastAsia"/>
                <w:sz w:val="24"/>
                <w:szCs w:val="21"/>
              </w:rPr>
              <w:t>1</w:t>
            </w:r>
          </w:p>
        </w:tc>
        <w:tc>
          <w:tcPr>
            <w:tcW w:w="1203" w:type="dxa"/>
            <w:vAlign w:val="center"/>
          </w:tcPr>
          <w:p>
            <w:pPr>
              <w:widowControl/>
              <w:spacing w:line="240" w:lineRule="auto"/>
              <w:jc w:val="center"/>
              <w:textAlignment w:val="center"/>
              <w:rPr>
                <w:color w:val="000000"/>
                <w:kern w:val="0"/>
                <w:sz w:val="24"/>
              </w:rPr>
            </w:pPr>
            <w:r>
              <w:rPr>
                <w:rFonts w:hint="eastAsia"/>
                <w:color w:val="000000"/>
                <w:kern w:val="0"/>
                <w:sz w:val="24"/>
              </w:rPr>
              <w:t>噪声</w:t>
            </w:r>
          </w:p>
        </w:tc>
        <w:tc>
          <w:tcPr>
            <w:tcW w:w="4050" w:type="dxa"/>
            <w:vAlign w:val="center"/>
          </w:tcPr>
          <w:p>
            <w:pPr>
              <w:widowControl/>
              <w:spacing w:line="240" w:lineRule="auto"/>
              <w:jc w:val="center"/>
              <w:textAlignment w:val="center"/>
              <w:rPr>
                <w:color w:val="000000"/>
                <w:kern w:val="0"/>
                <w:sz w:val="24"/>
              </w:rPr>
            </w:pPr>
            <w:r>
              <w:rPr>
                <w:rFonts w:hint="eastAsia"/>
                <w:color w:val="000000"/>
                <w:kern w:val="0"/>
                <w:sz w:val="24"/>
              </w:rPr>
              <w:t>《工业企业厂界环境噪声排放标准》</w:t>
            </w:r>
          </w:p>
        </w:tc>
        <w:tc>
          <w:tcPr>
            <w:tcW w:w="2561" w:type="dxa"/>
            <w:vAlign w:val="center"/>
          </w:tcPr>
          <w:p>
            <w:pPr>
              <w:spacing w:line="240" w:lineRule="auto"/>
              <w:jc w:val="center"/>
              <w:rPr>
                <w:color w:val="000000"/>
                <w:kern w:val="0"/>
                <w:sz w:val="24"/>
              </w:rPr>
            </w:pPr>
            <w:r>
              <w:rPr>
                <w:rFonts w:hint="eastAsia"/>
                <w:color w:val="000000"/>
                <w:kern w:val="0"/>
                <w:sz w:val="24"/>
              </w:rPr>
              <w:t>(GB 12348-2008)</w:t>
            </w:r>
          </w:p>
        </w:tc>
      </w:tr>
    </w:tbl>
    <w:p>
      <w:pPr>
        <w:pStyle w:val="3"/>
        <w:spacing w:line="600" w:lineRule="auto"/>
        <w:rPr>
          <w:bCs/>
          <w:sz w:val="32"/>
          <w:szCs w:val="32"/>
        </w:rPr>
      </w:pPr>
      <w:bookmarkStart w:id="250" w:name="_Toc32549"/>
      <w:r>
        <w:rPr>
          <w:rFonts w:hint="eastAsia"/>
          <w:bCs/>
          <w:sz w:val="32"/>
          <w:szCs w:val="32"/>
        </w:rPr>
        <w:t>6.2 验收监测仪器</w:t>
      </w:r>
      <w:bookmarkEnd w:id="250"/>
    </w:p>
    <w:p>
      <w:pPr>
        <w:ind w:firstLine="560" w:firstLineChars="200"/>
        <w:rPr>
          <w:color w:val="000000"/>
          <w:szCs w:val="28"/>
        </w:rPr>
      </w:pPr>
      <w:r>
        <w:rPr>
          <w:rFonts w:hint="eastAsia"/>
          <w:color w:val="000000"/>
          <w:szCs w:val="28"/>
        </w:rPr>
        <w:t>根据被测污染因子特点选择监测分析方法，并确定监测仪器。本</w:t>
      </w:r>
    </w:p>
    <w:p>
      <w:pPr>
        <w:rPr>
          <w:color w:val="000000"/>
          <w:szCs w:val="28"/>
        </w:rPr>
      </w:pPr>
      <w:r>
        <w:rPr>
          <w:rFonts w:hint="eastAsia"/>
          <w:color w:val="000000"/>
          <w:szCs w:val="28"/>
        </w:rPr>
        <w:t>次验收监测使用的主要仪器设备见表 6-2。</w:t>
      </w:r>
    </w:p>
    <w:p>
      <w:pPr>
        <w:ind w:firstLine="482" w:firstLineChars="200"/>
        <w:rPr>
          <w:b/>
          <w:bCs/>
          <w:sz w:val="24"/>
        </w:rPr>
      </w:pPr>
      <w:r>
        <w:rPr>
          <w:rFonts w:hint="eastAsia"/>
          <w:b/>
          <w:bCs/>
          <w:sz w:val="24"/>
        </w:rPr>
        <w:t>表6-</w:t>
      </w:r>
      <w:r>
        <w:rPr>
          <w:rFonts w:hint="eastAsia"/>
          <w:b/>
          <w:bCs/>
          <w:sz w:val="24"/>
          <w:lang w:val="en-US" w:eastAsia="zh-CN"/>
        </w:rPr>
        <w:t>2</w:t>
      </w:r>
      <w:r>
        <w:rPr>
          <w:rFonts w:hint="eastAsia"/>
          <w:b/>
          <w:bCs/>
          <w:sz w:val="24"/>
        </w:rPr>
        <w:t xml:space="preserve">                     监测仪器一览表</w:t>
      </w:r>
    </w:p>
    <w:tbl>
      <w:tblPr>
        <w:tblStyle w:val="40"/>
        <w:tblW w:w="8522" w:type="dxa"/>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270"/>
        <w:gridCol w:w="3016"/>
        <w:gridCol w:w="1217"/>
        <w:gridCol w:w="3019"/>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270" w:type="dxa"/>
            <w:tcBorders>
              <w:tl2br w:val="nil"/>
              <w:tr2bl w:val="nil"/>
            </w:tcBorders>
            <w:shd w:val="clear" w:color="auto" w:fill="FFFFFF"/>
            <w:vAlign w:val="center"/>
          </w:tcPr>
          <w:p>
            <w:pPr>
              <w:spacing w:line="240" w:lineRule="auto"/>
              <w:jc w:val="center"/>
              <w:rPr>
                <w:sz w:val="24"/>
              </w:rPr>
            </w:pPr>
            <w:r>
              <w:rPr>
                <w:sz w:val="24"/>
              </w:rPr>
              <w:t>监测项目</w:t>
            </w:r>
          </w:p>
        </w:tc>
        <w:tc>
          <w:tcPr>
            <w:tcW w:w="3016" w:type="dxa"/>
            <w:tcBorders>
              <w:tl2br w:val="nil"/>
              <w:tr2bl w:val="nil"/>
            </w:tcBorders>
            <w:shd w:val="clear" w:color="auto" w:fill="FFFFFF"/>
            <w:vAlign w:val="center"/>
          </w:tcPr>
          <w:p>
            <w:pPr>
              <w:spacing w:line="240" w:lineRule="auto"/>
              <w:jc w:val="center"/>
              <w:rPr>
                <w:sz w:val="24"/>
              </w:rPr>
            </w:pPr>
            <w:r>
              <w:rPr>
                <w:sz w:val="24"/>
              </w:rPr>
              <w:t>仪器名称</w:t>
            </w:r>
          </w:p>
        </w:tc>
        <w:tc>
          <w:tcPr>
            <w:tcW w:w="1217" w:type="dxa"/>
            <w:tcBorders>
              <w:tl2br w:val="nil"/>
              <w:tr2bl w:val="nil"/>
            </w:tcBorders>
            <w:shd w:val="clear" w:color="auto" w:fill="FFFFFF"/>
            <w:vAlign w:val="center"/>
          </w:tcPr>
          <w:p>
            <w:pPr>
              <w:spacing w:line="240" w:lineRule="auto"/>
              <w:jc w:val="center"/>
              <w:rPr>
                <w:sz w:val="24"/>
              </w:rPr>
            </w:pPr>
            <w:r>
              <w:rPr>
                <w:sz w:val="24"/>
              </w:rPr>
              <w:t>规格型号</w:t>
            </w:r>
          </w:p>
        </w:tc>
        <w:tc>
          <w:tcPr>
            <w:tcW w:w="3019" w:type="dxa"/>
            <w:tcBorders>
              <w:tl2br w:val="nil"/>
              <w:tr2bl w:val="nil"/>
            </w:tcBorders>
            <w:shd w:val="clear" w:color="auto" w:fill="FFFFFF"/>
            <w:vAlign w:val="center"/>
          </w:tcPr>
          <w:p>
            <w:pPr>
              <w:spacing w:line="240" w:lineRule="auto"/>
              <w:jc w:val="center"/>
              <w:rPr>
                <w:sz w:val="24"/>
              </w:rPr>
            </w:pPr>
            <w:r>
              <w:rPr>
                <w:sz w:val="24"/>
              </w:rPr>
              <w:t>厂家</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270" w:type="dxa"/>
            <w:tcBorders>
              <w:tl2br w:val="nil"/>
              <w:tr2bl w:val="nil"/>
            </w:tcBorders>
            <w:shd w:val="clear" w:color="auto" w:fill="FFFFFF"/>
            <w:vAlign w:val="center"/>
          </w:tcPr>
          <w:p>
            <w:pPr>
              <w:widowControl/>
              <w:spacing w:line="240" w:lineRule="auto"/>
              <w:jc w:val="center"/>
              <w:textAlignment w:val="center"/>
              <w:rPr>
                <w:kern w:val="0"/>
                <w:sz w:val="24"/>
              </w:rPr>
            </w:pPr>
            <w:r>
              <w:rPr>
                <w:rFonts w:hint="eastAsia"/>
                <w:kern w:val="0"/>
                <w:sz w:val="24"/>
              </w:rPr>
              <w:t>噪声</w:t>
            </w:r>
          </w:p>
        </w:tc>
        <w:tc>
          <w:tcPr>
            <w:tcW w:w="3016" w:type="dxa"/>
            <w:tcBorders>
              <w:tl2br w:val="nil"/>
              <w:tr2bl w:val="nil"/>
            </w:tcBorders>
            <w:shd w:val="clear" w:color="auto" w:fill="FFFFFF"/>
            <w:vAlign w:val="center"/>
          </w:tcPr>
          <w:p>
            <w:pPr>
              <w:widowControl/>
              <w:spacing w:line="240" w:lineRule="auto"/>
              <w:jc w:val="center"/>
              <w:textAlignment w:val="center"/>
              <w:rPr>
                <w:kern w:val="0"/>
                <w:sz w:val="24"/>
              </w:rPr>
            </w:pPr>
            <w:r>
              <w:rPr>
                <w:rFonts w:hint="eastAsia"/>
                <w:kern w:val="0"/>
                <w:sz w:val="24"/>
              </w:rPr>
              <w:t>多功能声级计</w:t>
            </w:r>
          </w:p>
        </w:tc>
        <w:tc>
          <w:tcPr>
            <w:tcW w:w="1217" w:type="dxa"/>
            <w:tcBorders>
              <w:tl2br w:val="nil"/>
              <w:tr2bl w:val="nil"/>
            </w:tcBorders>
            <w:shd w:val="clear" w:color="auto" w:fill="FFFFFF"/>
            <w:vAlign w:val="center"/>
          </w:tcPr>
          <w:p>
            <w:pPr>
              <w:widowControl/>
              <w:spacing w:line="240" w:lineRule="auto"/>
              <w:jc w:val="center"/>
              <w:textAlignment w:val="center"/>
              <w:rPr>
                <w:kern w:val="0"/>
                <w:sz w:val="24"/>
              </w:rPr>
            </w:pPr>
            <w:r>
              <w:rPr>
                <w:rFonts w:hint="eastAsia"/>
                <w:kern w:val="0"/>
                <w:sz w:val="24"/>
              </w:rPr>
              <w:t>AWA6228+</w:t>
            </w:r>
          </w:p>
        </w:tc>
        <w:tc>
          <w:tcPr>
            <w:tcW w:w="3019" w:type="dxa"/>
            <w:tcBorders>
              <w:tl2br w:val="nil"/>
              <w:tr2bl w:val="nil"/>
            </w:tcBorders>
            <w:shd w:val="clear" w:color="auto" w:fill="FFFFFF"/>
            <w:vAlign w:val="center"/>
          </w:tcPr>
          <w:p>
            <w:pPr>
              <w:widowControl/>
              <w:spacing w:line="240" w:lineRule="auto"/>
              <w:jc w:val="center"/>
              <w:textAlignment w:val="center"/>
              <w:rPr>
                <w:kern w:val="0"/>
                <w:sz w:val="24"/>
              </w:rPr>
            </w:pPr>
            <w:r>
              <w:rPr>
                <w:rFonts w:hint="eastAsia"/>
                <w:kern w:val="0"/>
                <w:sz w:val="24"/>
              </w:rPr>
              <w:t>杭州爱华</w:t>
            </w:r>
          </w:p>
        </w:tc>
      </w:tr>
    </w:tbl>
    <w:p>
      <w:pPr>
        <w:pStyle w:val="3"/>
        <w:spacing w:line="600" w:lineRule="auto"/>
        <w:rPr>
          <w:rFonts w:hint="eastAsia"/>
          <w:bCs/>
          <w:sz w:val="32"/>
          <w:szCs w:val="32"/>
        </w:rPr>
      </w:pPr>
      <w:bookmarkStart w:id="251" w:name="_Toc29061"/>
      <w:r>
        <w:rPr>
          <w:rFonts w:hint="eastAsia"/>
          <w:bCs/>
          <w:sz w:val="32"/>
          <w:szCs w:val="32"/>
        </w:rPr>
        <w:t>6.3质量控制与质量保证</w:t>
      </w:r>
      <w:bookmarkEnd w:id="251"/>
    </w:p>
    <w:p>
      <w:pPr>
        <w:ind w:firstLine="560" w:firstLineChars="200"/>
        <w:rPr>
          <w:color w:val="000000"/>
          <w:szCs w:val="28"/>
        </w:rPr>
      </w:pPr>
      <w:r>
        <w:rPr>
          <w:color w:val="000000"/>
          <w:szCs w:val="28"/>
        </w:rPr>
        <w:t>本次验收监测采样及样品分析均严格按照《环境水质监测质量保证手册》（第四版）、《环境空气监测质量保证手册》</w:t>
      </w:r>
      <w:r>
        <w:rPr>
          <w:rFonts w:hint="eastAsia"/>
          <w:color w:val="000000"/>
          <w:szCs w:val="28"/>
        </w:rPr>
        <w:t>（第四版）</w:t>
      </w:r>
      <w:r>
        <w:rPr>
          <w:color w:val="000000"/>
          <w:szCs w:val="28"/>
        </w:rPr>
        <w:t>等要求进行，实施全程序质量控制。具体质控措施如下：</w:t>
      </w:r>
      <w:bookmarkEnd w:id="246"/>
      <w:bookmarkEnd w:id="247"/>
      <w:bookmarkEnd w:id="248"/>
      <w:bookmarkEnd w:id="249"/>
    </w:p>
    <w:p>
      <w:pPr>
        <w:ind w:firstLine="560" w:firstLineChars="200"/>
        <w:rPr>
          <w:szCs w:val="28"/>
        </w:rPr>
      </w:pPr>
      <w:r>
        <w:rPr>
          <w:rFonts w:hint="eastAsia"/>
          <w:szCs w:val="28"/>
        </w:rPr>
        <w:t>1、</w:t>
      </w:r>
      <w:r>
        <w:rPr>
          <w:szCs w:val="28"/>
        </w:rPr>
        <w:t>生产处于正常。监测期间生产在大于</w:t>
      </w:r>
      <w:r>
        <w:rPr>
          <w:color w:val="000000" w:themeColor="text1"/>
          <w:szCs w:val="28"/>
          <w14:textFill>
            <w14:solidFill>
              <w14:schemeClr w14:val="tx1"/>
            </w14:solidFill>
          </w14:textFill>
        </w:rPr>
        <w:t>75%</w:t>
      </w:r>
      <w:r>
        <w:rPr>
          <w:szCs w:val="28"/>
        </w:rPr>
        <w:t>额定生产负荷的工况下稳定运行，各污染治理设施运行基本正常。</w:t>
      </w:r>
    </w:p>
    <w:p>
      <w:pPr>
        <w:ind w:firstLine="560" w:firstLineChars="200"/>
        <w:rPr>
          <w:szCs w:val="28"/>
        </w:rPr>
      </w:pPr>
      <w:r>
        <w:rPr>
          <w:rFonts w:hint="eastAsia"/>
          <w:szCs w:val="28"/>
        </w:rPr>
        <w:t>2、</w:t>
      </w:r>
      <w:r>
        <w:rPr>
          <w:szCs w:val="28"/>
        </w:rPr>
        <w:t>合理布设监测点位，保证各监测点位布设的科学性和可比性。</w:t>
      </w:r>
    </w:p>
    <w:p>
      <w:pPr>
        <w:ind w:firstLine="560" w:firstLineChars="200"/>
        <w:rPr>
          <w:szCs w:val="28"/>
        </w:rPr>
      </w:pPr>
      <w:r>
        <w:rPr>
          <w:rFonts w:hint="eastAsia"/>
          <w:szCs w:val="28"/>
          <w:lang w:val="en-US" w:eastAsia="zh-CN"/>
        </w:rPr>
        <w:t>3</w:t>
      </w:r>
      <w:r>
        <w:rPr>
          <w:rFonts w:hint="eastAsia"/>
          <w:szCs w:val="28"/>
        </w:rPr>
        <w:t>、</w:t>
      </w:r>
      <w:r>
        <w:rPr>
          <w:szCs w:val="28"/>
        </w:rPr>
        <w:t>噪声仪在使用前后用声校准器校准，校准读数偏差不大于0.5分贝。</w:t>
      </w:r>
    </w:p>
    <w:p>
      <w:pPr>
        <w:ind w:firstLine="560" w:firstLineChars="200"/>
        <w:rPr>
          <w:szCs w:val="28"/>
        </w:rPr>
      </w:pPr>
      <w:r>
        <w:rPr>
          <w:rFonts w:hint="eastAsia"/>
          <w:szCs w:val="28"/>
          <w:lang w:val="en-US" w:eastAsia="zh-CN"/>
        </w:rPr>
        <w:t>4</w:t>
      </w:r>
      <w:r>
        <w:rPr>
          <w:rFonts w:hint="eastAsia"/>
          <w:szCs w:val="28"/>
        </w:rPr>
        <w:t>、</w:t>
      </w:r>
      <w:r>
        <w:rPr>
          <w:szCs w:val="28"/>
        </w:rPr>
        <w:t>监测分析方法采用国家颁布标准方法，监测人员经考核并持有合格证书，所有监测仪器经计量部门检定并在有效期内</w:t>
      </w:r>
      <w:r>
        <w:rPr>
          <w:rFonts w:hint="eastAsia"/>
          <w:szCs w:val="28"/>
        </w:rPr>
        <w:t>。</w:t>
      </w:r>
    </w:p>
    <w:p>
      <w:pPr>
        <w:pStyle w:val="2"/>
        <w:rPr>
          <w:bCs w:val="0"/>
          <w:color w:val="000000"/>
          <w:sz w:val="28"/>
          <w:szCs w:val="32"/>
        </w:rPr>
      </w:pPr>
      <w:bookmarkStart w:id="252" w:name="_Toc1518"/>
      <w:bookmarkStart w:id="253" w:name="_Toc1717"/>
      <w:bookmarkStart w:id="254" w:name="_Toc31051"/>
      <w:r>
        <w:rPr>
          <w:bCs w:val="0"/>
          <w:color w:val="000000"/>
          <w:sz w:val="28"/>
          <w:szCs w:val="32"/>
        </w:rPr>
        <w:br w:type="page"/>
      </w:r>
      <w:bookmarkStart w:id="255" w:name="_Toc19115"/>
      <w:r>
        <w:rPr>
          <w:rFonts w:hint="eastAsia"/>
          <w:szCs w:val="32"/>
        </w:rPr>
        <w:t>七</w:t>
      </w:r>
      <w:r>
        <w:rPr>
          <w:szCs w:val="32"/>
        </w:rPr>
        <w:t>、监测结果分析与评价</w:t>
      </w:r>
      <w:bookmarkEnd w:id="252"/>
      <w:bookmarkEnd w:id="253"/>
      <w:bookmarkEnd w:id="254"/>
      <w:bookmarkEnd w:id="255"/>
      <w:bookmarkStart w:id="256" w:name="_Toc346635733"/>
      <w:bookmarkStart w:id="257" w:name="_Toc318456412"/>
    </w:p>
    <w:bookmarkEnd w:id="256"/>
    <w:bookmarkEnd w:id="257"/>
    <w:p>
      <w:pPr>
        <w:pStyle w:val="3"/>
        <w:spacing w:line="600" w:lineRule="auto"/>
        <w:rPr>
          <w:rFonts w:hint="eastAsia"/>
          <w:bCs/>
          <w:sz w:val="32"/>
          <w:szCs w:val="32"/>
        </w:rPr>
      </w:pPr>
      <w:bookmarkStart w:id="258" w:name="_Toc13699"/>
      <w:bookmarkStart w:id="259" w:name="_Toc20637"/>
      <w:bookmarkStart w:id="260" w:name="_Toc18228"/>
      <w:bookmarkStart w:id="261" w:name="_Toc7252"/>
      <w:bookmarkStart w:id="262" w:name="_Toc9306"/>
      <w:bookmarkStart w:id="263" w:name="_Toc31546"/>
      <w:bookmarkStart w:id="264" w:name="_Toc6560"/>
      <w:bookmarkStart w:id="265" w:name="_Toc19949"/>
      <w:bookmarkStart w:id="266" w:name="_Toc1059"/>
      <w:bookmarkStart w:id="267" w:name="_Toc22104"/>
      <w:r>
        <w:rPr>
          <w:rFonts w:hint="eastAsia"/>
          <w:bCs/>
          <w:sz w:val="32"/>
          <w:szCs w:val="32"/>
        </w:rPr>
        <w:t xml:space="preserve">7.1 </w:t>
      </w:r>
      <w:bookmarkEnd w:id="258"/>
      <w:bookmarkEnd w:id="259"/>
      <w:bookmarkEnd w:id="260"/>
      <w:bookmarkEnd w:id="261"/>
      <w:r>
        <w:rPr>
          <w:rFonts w:hint="eastAsia"/>
          <w:bCs/>
          <w:sz w:val="32"/>
          <w:szCs w:val="32"/>
        </w:rPr>
        <w:t>监测期间工况</w:t>
      </w:r>
      <w:bookmarkEnd w:id="262"/>
    </w:p>
    <w:p>
      <w:pPr>
        <w:ind w:firstLine="560" w:firstLineChars="200"/>
        <w:rPr>
          <w:rFonts w:hint="eastAsia"/>
          <w:color w:val="000000"/>
        </w:rPr>
      </w:pPr>
      <w:bookmarkStart w:id="268" w:name="_Toc24628"/>
      <w:r>
        <w:rPr>
          <w:rFonts w:hint="eastAsia"/>
          <w:color w:val="000000"/>
        </w:rPr>
        <w:t>20</w:t>
      </w:r>
      <w:r>
        <w:rPr>
          <w:rFonts w:hint="eastAsia"/>
          <w:color w:val="000000"/>
          <w:lang w:val="en-US" w:eastAsia="zh-CN"/>
        </w:rPr>
        <w:t>22</w:t>
      </w:r>
      <w:r>
        <w:rPr>
          <w:rFonts w:hint="eastAsia"/>
          <w:color w:val="000000"/>
        </w:rPr>
        <w:t>年</w:t>
      </w:r>
      <w:r>
        <w:rPr>
          <w:rFonts w:hint="eastAsia"/>
          <w:color w:val="000000"/>
          <w:lang w:val="en-US" w:eastAsia="zh-CN"/>
        </w:rPr>
        <w:t>4</w:t>
      </w:r>
      <w:r>
        <w:rPr>
          <w:rFonts w:hint="eastAsia"/>
          <w:color w:val="000000"/>
        </w:rPr>
        <w:t>月</w:t>
      </w:r>
      <w:r>
        <w:rPr>
          <w:rFonts w:hint="eastAsia"/>
          <w:color w:val="000000"/>
          <w:lang w:val="en-US" w:eastAsia="zh-CN"/>
        </w:rPr>
        <w:t>12</w:t>
      </w:r>
      <w:r>
        <w:rPr>
          <w:rFonts w:hint="eastAsia"/>
          <w:color w:val="000000"/>
        </w:rPr>
        <w:t>日-20</w:t>
      </w:r>
      <w:r>
        <w:rPr>
          <w:rFonts w:hint="eastAsia"/>
          <w:color w:val="000000"/>
          <w:lang w:val="en-US" w:eastAsia="zh-CN"/>
        </w:rPr>
        <w:t>22</w:t>
      </w:r>
      <w:r>
        <w:rPr>
          <w:rFonts w:hint="eastAsia"/>
          <w:color w:val="000000"/>
        </w:rPr>
        <w:t>年</w:t>
      </w:r>
      <w:r>
        <w:rPr>
          <w:rFonts w:hint="eastAsia"/>
          <w:color w:val="000000"/>
          <w:lang w:val="en-US" w:eastAsia="zh-CN"/>
        </w:rPr>
        <w:t>4</w:t>
      </w:r>
      <w:r>
        <w:rPr>
          <w:rFonts w:hint="eastAsia"/>
          <w:color w:val="000000"/>
        </w:rPr>
        <w:t>月</w:t>
      </w:r>
      <w:r>
        <w:rPr>
          <w:rFonts w:hint="eastAsia"/>
          <w:color w:val="000000"/>
          <w:lang w:val="en-US" w:eastAsia="zh-CN"/>
        </w:rPr>
        <w:t>13</w:t>
      </w:r>
      <w:r>
        <w:rPr>
          <w:rFonts w:hint="eastAsia"/>
          <w:color w:val="000000"/>
        </w:rPr>
        <w:t>日，验收监测期间</w:t>
      </w:r>
      <w:r>
        <w:rPr>
          <w:rFonts w:hint="eastAsia"/>
          <w:color w:val="000000"/>
          <w:lang w:eastAsia="zh-CN"/>
        </w:rPr>
        <w:t>，</w:t>
      </w:r>
      <w:r>
        <w:rPr>
          <w:rFonts w:hint="eastAsia"/>
          <w:color w:val="000000"/>
          <w:lang w:val="en-US" w:eastAsia="zh-CN"/>
        </w:rPr>
        <w:t>生产</w:t>
      </w:r>
      <w:r>
        <w:rPr>
          <w:rFonts w:hint="eastAsia"/>
          <w:color w:val="000000"/>
        </w:rPr>
        <w:t>设备和环保设施均正常运行。</w:t>
      </w:r>
    </w:p>
    <w:bookmarkEnd w:id="268"/>
    <w:p>
      <w:pPr>
        <w:pStyle w:val="3"/>
        <w:spacing w:line="600" w:lineRule="auto"/>
        <w:rPr>
          <w:rFonts w:hint="eastAsia"/>
          <w:bCs/>
          <w:sz w:val="32"/>
          <w:szCs w:val="32"/>
        </w:rPr>
      </w:pPr>
      <w:r>
        <w:rPr>
          <w:rFonts w:hint="eastAsia"/>
          <w:bCs/>
          <w:sz w:val="32"/>
          <w:szCs w:val="32"/>
        </w:rPr>
        <w:t>7.</w:t>
      </w:r>
      <w:bookmarkEnd w:id="263"/>
      <w:bookmarkEnd w:id="264"/>
      <w:bookmarkEnd w:id="265"/>
      <w:r>
        <w:rPr>
          <w:rFonts w:hint="eastAsia"/>
          <w:bCs/>
          <w:sz w:val="32"/>
          <w:szCs w:val="32"/>
          <w:lang w:val="en-US" w:eastAsia="zh-CN"/>
        </w:rPr>
        <w:t>2</w:t>
      </w:r>
      <w:r>
        <w:rPr>
          <w:rFonts w:hint="eastAsia"/>
          <w:bCs/>
          <w:sz w:val="32"/>
          <w:szCs w:val="32"/>
        </w:rPr>
        <w:t>噪声监测</w:t>
      </w:r>
      <w:bookmarkEnd w:id="266"/>
      <w:bookmarkEnd w:id="267"/>
    </w:p>
    <w:p>
      <w:pPr>
        <w:ind w:firstLine="560" w:firstLineChars="200"/>
        <w:rPr>
          <w:b/>
          <w:bCs/>
          <w:sz w:val="24"/>
        </w:rPr>
      </w:pPr>
      <w:bookmarkStart w:id="269" w:name="_Toc68937069"/>
      <w:bookmarkStart w:id="270" w:name="_Toc125120806"/>
      <w:bookmarkStart w:id="271" w:name="_Toc63825953"/>
      <w:bookmarkStart w:id="272" w:name="_Toc10399"/>
      <w:bookmarkStart w:id="273" w:name="_Toc64714090"/>
      <w:bookmarkStart w:id="274" w:name="_Toc58318285"/>
      <w:bookmarkStart w:id="275" w:name="_Toc73183923"/>
      <w:bookmarkStart w:id="276" w:name="_Toc68516293"/>
      <w:bookmarkStart w:id="277" w:name="_Toc73431169"/>
      <w:bookmarkStart w:id="278" w:name="_Toc58317305"/>
      <w:bookmarkStart w:id="279" w:name="_Toc242855136"/>
      <w:bookmarkStart w:id="280" w:name="_Toc10480"/>
      <w:bookmarkStart w:id="281" w:name="_Toc54772910"/>
      <w:bookmarkStart w:id="282" w:name="_Toc58318629"/>
      <w:bookmarkStart w:id="283" w:name="_Toc55035619"/>
      <w:bookmarkStart w:id="284" w:name="_Toc15716"/>
      <w:bookmarkStart w:id="285" w:name="_Toc346635738"/>
      <w:bookmarkStart w:id="286" w:name="_Toc68939326"/>
      <w:bookmarkStart w:id="287" w:name="_Toc63588103"/>
      <w:bookmarkStart w:id="288" w:name="_Toc56918247"/>
      <w:r>
        <w:rPr>
          <w:rFonts w:hint="eastAsia"/>
          <w:bCs/>
          <w:szCs w:val="22"/>
          <w:lang w:val="en-US" w:eastAsia="zh-CN"/>
        </w:rPr>
        <w:t>神泉污水处理装置厂界</w:t>
      </w:r>
      <w:r>
        <w:rPr>
          <w:bCs/>
          <w:szCs w:val="22"/>
        </w:rPr>
        <w:t>噪声监测依据《工业企业厂界环境噪声排放标准》(GB 12348-2008)。噪声监测项目、点位、时间和频次见表</w:t>
      </w:r>
      <w:r>
        <w:rPr>
          <w:rFonts w:hint="eastAsia"/>
          <w:bCs/>
          <w:szCs w:val="22"/>
        </w:rPr>
        <w:t>7-1</w:t>
      </w:r>
      <w:r>
        <w:rPr>
          <w:bCs/>
          <w:szCs w:val="22"/>
        </w:rPr>
        <w:t>。</w:t>
      </w:r>
      <w:bookmarkStart w:id="289" w:name="_Toc13934"/>
      <w:bookmarkStart w:id="290" w:name="_Toc27889"/>
      <w:bookmarkStart w:id="291" w:name="_Toc12655"/>
      <w:bookmarkStart w:id="292" w:name="_Toc19463"/>
    </w:p>
    <w:p>
      <w:pPr>
        <w:ind w:firstLine="482" w:firstLineChars="200"/>
        <w:rPr>
          <w:b/>
          <w:bCs/>
          <w:sz w:val="24"/>
        </w:rPr>
      </w:pPr>
      <w:r>
        <w:rPr>
          <w:b/>
          <w:bCs/>
          <w:sz w:val="24"/>
        </w:rPr>
        <w:t>表</w:t>
      </w:r>
      <w:r>
        <w:rPr>
          <w:rFonts w:hint="eastAsia"/>
          <w:b/>
          <w:bCs/>
          <w:sz w:val="24"/>
        </w:rPr>
        <w:t>7</w:t>
      </w:r>
      <w:r>
        <w:rPr>
          <w:b/>
          <w:bCs/>
          <w:sz w:val="24"/>
        </w:rPr>
        <w:t>-</w:t>
      </w:r>
      <w:r>
        <w:rPr>
          <w:rFonts w:hint="eastAsia"/>
          <w:b/>
          <w:bCs/>
          <w:sz w:val="24"/>
        </w:rPr>
        <w:t>1</w:t>
      </w:r>
      <w:r>
        <w:rPr>
          <w:rFonts w:hint="eastAsia"/>
          <w:b/>
          <w:bCs/>
          <w:sz w:val="24"/>
          <w:lang w:val="en-US" w:eastAsia="zh-CN"/>
        </w:rPr>
        <w:t xml:space="preserve">          神泉联合站厂界</w:t>
      </w:r>
      <w:r>
        <w:rPr>
          <w:b/>
          <w:bCs/>
          <w:sz w:val="24"/>
        </w:rPr>
        <w:t>噪声监测点位、频次表</w:t>
      </w:r>
      <w:bookmarkEnd w:id="289"/>
      <w:bookmarkEnd w:id="290"/>
      <w:bookmarkEnd w:id="291"/>
      <w:bookmarkEnd w:id="292"/>
    </w:p>
    <w:tbl>
      <w:tblPr>
        <w:tblStyle w:val="40"/>
        <w:tblW w:w="8522" w:type="dxa"/>
        <w:jc w:val="center"/>
        <w:tblBorders>
          <w:top w:val="single" w:color="auto" w:sz="8" w:space="0"/>
          <w:left w:val="none" w:color="auto" w:sz="0" w:space="0"/>
          <w:bottom w:val="single" w:color="auto" w:sz="8" w:space="0"/>
          <w:right w:val="none" w:color="auto" w:sz="0" w:space="0"/>
          <w:insideH w:val="single" w:color="auto" w:sz="8" w:space="0"/>
          <w:insideV w:val="single" w:color="auto" w:sz="4" w:space="0"/>
        </w:tblBorders>
        <w:tblLayout w:type="fixed"/>
        <w:tblCellMar>
          <w:top w:w="0" w:type="dxa"/>
          <w:left w:w="108" w:type="dxa"/>
          <w:bottom w:w="0" w:type="dxa"/>
          <w:right w:w="108" w:type="dxa"/>
        </w:tblCellMar>
      </w:tblPr>
      <w:tblGrid>
        <w:gridCol w:w="1254"/>
        <w:gridCol w:w="2055"/>
        <w:gridCol w:w="1920"/>
        <w:gridCol w:w="1457"/>
        <w:gridCol w:w="1836"/>
      </w:tblGrid>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634" w:hRule="atLeast"/>
          <w:jc w:val="center"/>
        </w:trPr>
        <w:tc>
          <w:tcPr>
            <w:tcW w:w="1254" w:type="dxa"/>
            <w:vAlign w:val="center"/>
          </w:tcPr>
          <w:p>
            <w:pPr>
              <w:spacing w:line="240" w:lineRule="auto"/>
              <w:jc w:val="center"/>
              <w:rPr>
                <w:sz w:val="24"/>
              </w:rPr>
            </w:pPr>
            <w:bookmarkStart w:id="293" w:name="_Toc13042"/>
            <w:bookmarkStart w:id="294" w:name="_Toc30089"/>
            <w:bookmarkStart w:id="295" w:name="_Toc32475"/>
            <w:bookmarkStart w:id="296" w:name="_Toc6887"/>
            <w:r>
              <w:rPr>
                <w:sz w:val="24"/>
              </w:rPr>
              <w:t>监测</w:t>
            </w:r>
            <w:bookmarkEnd w:id="293"/>
            <w:bookmarkEnd w:id="294"/>
            <w:bookmarkEnd w:id="295"/>
            <w:bookmarkEnd w:id="296"/>
            <w:bookmarkStart w:id="297" w:name="_Toc21707"/>
            <w:bookmarkStart w:id="298" w:name="_Toc13369"/>
            <w:bookmarkStart w:id="299" w:name="_Toc28338"/>
            <w:bookmarkStart w:id="300" w:name="_Toc28609"/>
            <w:r>
              <w:rPr>
                <w:sz w:val="24"/>
              </w:rPr>
              <w:t>项目</w:t>
            </w:r>
            <w:bookmarkEnd w:id="297"/>
            <w:bookmarkEnd w:id="298"/>
            <w:bookmarkEnd w:id="299"/>
            <w:bookmarkEnd w:id="300"/>
          </w:p>
        </w:tc>
        <w:tc>
          <w:tcPr>
            <w:tcW w:w="2055" w:type="dxa"/>
            <w:vAlign w:val="center"/>
          </w:tcPr>
          <w:p>
            <w:pPr>
              <w:spacing w:line="240" w:lineRule="auto"/>
              <w:jc w:val="center"/>
              <w:rPr>
                <w:sz w:val="24"/>
              </w:rPr>
            </w:pPr>
            <w:bookmarkStart w:id="301" w:name="_Toc20495"/>
            <w:bookmarkStart w:id="302" w:name="_Toc28584"/>
            <w:bookmarkStart w:id="303" w:name="_Toc30379"/>
            <w:bookmarkStart w:id="304" w:name="_Toc25140"/>
            <w:r>
              <w:rPr>
                <w:sz w:val="24"/>
              </w:rPr>
              <w:t>监测点位</w:t>
            </w:r>
            <w:bookmarkEnd w:id="301"/>
            <w:bookmarkEnd w:id="302"/>
            <w:bookmarkEnd w:id="303"/>
            <w:bookmarkEnd w:id="304"/>
          </w:p>
        </w:tc>
        <w:tc>
          <w:tcPr>
            <w:tcW w:w="1920" w:type="dxa"/>
            <w:vAlign w:val="center"/>
          </w:tcPr>
          <w:p>
            <w:pPr>
              <w:spacing w:line="240" w:lineRule="auto"/>
              <w:jc w:val="center"/>
              <w:rPr>
                <w:sz w:val="24"/>
              </w:rPr>
            </w:pPr>
            <w:bookmarkStart w:id="305" w:name="_Toc2911"/>
            <w:bookmarkStart w:id="306" w:name="_Toc28269"/>
            <w:bookmarkStart w:id="307" w:name="_Toc23716"/>
            <w:bookmarkStart w:id="308" w:name="_Toc11391"/>
            <w:r>
              <w:rPr>
                <w:sz w:val="24"/>
              </w:rPr>
              <w:t>监测因子</w:t>
            </w:r>
            <w:bookmarkEnd w:id="305"/>
            <w:bookmarkEnd w:id="306"/>
            <w:bookmarkEnd w:id="307"/>
            <w:bookmarkEnd w:id="308"/>
          </w:p>
        </w:tc>
        <w:tc>
          <w:tcPr>
            <w:tcW w:w="1457" w:type="dxa"/>
            <w:vAlign w:val="center"/>
          </w:tcPr>
          <w:p>
            <w:pPr>
              <w:spacing w:line="240" w:lineRule="auto"/>
              <w:jc w:val="center"/>
              <w:rPr>
                <w:sz w:val="24"/>
              </w:rPr>
            </w:pPr>
            <w:bookmarkStart w:id="309" w:name="_Toc26079"/>
            <w:bookmarkStart w:id="310" w:name="_Toc772"/>
            <w:bookmarkStart w:id="311" w:name="_Toc28868"/>
            <w:bookmarkStart w:id="312" w:name="_Toc15844"/>
            <w:r>
              <w:rPr>
                <w:sz w:val="24"/>
              </w:rPr>
              <w:t>监测时间</w:t>
            </w:r>
            <w:bookmarkEnd w:id="309"/>
            <w:bookmarkEnd w:id="310"/>
            <w:bookmarkEnd w:id="311"/>
            <w:bookmarkEnd w:id="312"/>
          </w:p>
        </w:tc>
        <w:tc>
          <w:tcPr>
            <w:tcW w:w="1836" w:type="dxa"/>
            <w:vAlign w:val="center"/>
          </w:tcPr>
          <w:p>
            <w:pPr>
              <w:spacing w:line="240" w:lineRule="auto"/>
              <w:jc w:val="center"/>
              <w:rPr>
                <w:sz w:val="24"/>
              </w:rPr>
            </w:pPr>
            <w:bookmarkStart w:id="313" w:name="_Toc19138"/>
            <w:bookmarkStart w:id="314" w:name="_Toc16154"/>
            <w:bookmarkStart w:id="315" w:name="_Toc20405"/>
            <w:bookmarkStart w:id="316" w:name="_Toc17578"/>
            <w:r>
              <w:rPr>
                <w:sz w:val="24"/>
              </w:rPr>
              <w:t>监测</w:t>
            </w:r>
            <w:bookmarkEnd w:id="313"/>
            <w:bookmarkEnd w:id="314"/>
            <w:bookmarkEnd w:id="315"/>
            <w:bookmarkEnd w:id="316"/>
            <w:bookmarkStart w:id="317" w:name="_Toc27733"/>
            <w:bookmarkStart w:id="318" w:name="_Toc19571"/>
            <w:bookmarkStart w:id="319" w:name="_Toc28081"/>
            <w:bookmarkStart w:id="320" w:name="_Toc22443"/>
            <w:r>
              <w:rPr>
                <w:sz w:val="24"/>
              </w:rPr>
              <w:t>频次</w:t>
            </w:r>
            <w:bookmarkEnd w:id="317"/>
            <w:bookmarkEnd w:id="318"/>
            <w:bookmarkEnd w:id="319"/>
            <w:bookmarkEnd w:id="320"/>
          </w:p>
        </w:tc>
      </w:tr>
      <w:tr>
        <w:tblPrEx>
          <w:tblBorders>
            <w:top w:val="single" w:color="auto" w:sz="8" w:space="0"/>
            <w:left w:val="none" w:color="auto" w:sz="0" w:space="0"/>
            <w:bottom w:val="single" w:color="auto" w:sz="8" w:space="0"/>
            <w:right w:val="none" w:color="auto" w:sz="0" w:space="0"/>
            <w:insideH w:val="single" w:color="auto" w:sz="8" w:space="0"/>
            <w:insideV w:val="single" w:color="auto" w:sz="4" w:space="0"/>
          </w:tblBorders>
          <w:tblCellMar>
            <w:top w:w="0" w:type="dxa"/>
            <w:left w:w="108" w:type="dxa"/>
            <w:bottom w:w="0" w:type="dxa"/>
            <w:right w:w="108" w:type="dxa"/>
          </w:tblCellMar>
        </w:tblPrEx>
        <w:trPr>
          <w:trHeight w:val="980" w:hRule="atLeast"/>
          <w:jc w:val="center"/>
        </w:trPr>
        <w:tc>
          <w:tcPr>
            <w:tcW w:w="1254" w:type="dxa"/>
            <w:vAlign w:val="center"/>
          </w:tcPr>
          <w:p>
            <w:pPr>
              <w:spacing w:line="240" w:lineRule="auto"/>
              <w:jc w:val="center"/>
              <w:rPr>
                <w:sz w:val="24"/>
              </w:rPr>
            </w:pPr>
            <w:bookmarkStart w:id="321" w:name="_Toc22571"/>
            <w:bookmarkStart w:id="322" w:name="_Toc17370"/>
            <w:bookmarkStart w:id="323" w:name="_Toc26673"/>
            <w:bookmarkStart w:id="324" w:name="_Toc14792"/>
            <w:r>
              <w:rPr>
                <w:sz w:val="24"/>
              </w:rPr>
              <w:t>厂界</w:t>
            </w:r>
            <w:bookmarkEnd w:id="321"/>
            <w:bookmarkEnd w:id="322"/>
            <w:bookmarkEnd w:id="323"/>
            <w:bookmarkEnd w:id="324"/>
            <w:bookmarkStart w:id="325" w:name="_Toc20333"/>
            <w:bookmarkStart w:id="326" w:name="_Toc26518"/>
            <w:bookmarkStart w:id="327" w:name="_Toc9732"/>
            <w:bookmarkStart w:id="328" w:name="_Toc20522"/>
            <w:r>
              <w:rPr>
                <w:sz w:val="24"/>
              </w:rPr>
              <w:t>噪声</w:t>
            </w:r>
            <w:bookmarkEnd w:id="325"/>
            <w:bookmarkEnd w:id="326"/>
            <w:bookmarkEnd w:id="327"/>
            <w:bookmarkEnd w:id="328"/>
          </w:p>
        </w:tc>
        <w:tc>
          <w:tcPr>
            <w:tcW w:w="2055" w:type="dxa"/>
            <w:vAlign w:val="center"/>
          </w:tcPr>
          <w:p>
            <w:pPr>
              <w:spacing w:line="240" w:lineRule="auto"/>
              <w:jc w:val="center"/>
              <w:rPr>
                <w:sz w:val="24"/>
              </w:rPr>
            </w:pPr>
            <w:bookmarkStart w:id="329" w:name="_Toc11822"/>
            <w:bookmarkStart w:id="330" w:name="_Toc11713"/>
            <w:bookmarkStart w:id="331" w:name="_Toc18565"/>
            <w:bookmarkStart w:id="332" w:name="_Toc9510"/>
            <w:r>
              <w:rPr>
                <w:rFonts w:hint="eastAsia"/>
                <w:sz w:val="24"/>
                <w:lang w:val="en-US" w:eastAsia="zh-CN"/>
              </w:rPr>
              <w:t>神泉污水处理装置</w:t>
            </w:r>
            <w:r>
              <w:rPr>
                <w:sz w:val="24"/>
              </w:rPr>
              <w:t>厂界四周1m</w:t>
            </w:r>
          </w:p>
          <w:p>
            <w:pPr>
              <w:spacing w:line="240" w:lineRule="auto"/>
              <w:jc w:val="center"/>
              <w:rPr>
                <w:sz w:val="24"/>
              </w:rPr>
            </w:pPr>
            <w:r>
              <w:rPr>
                <w:sz w:val="24"/>
              </w:rPr>
              <w:t>各一个点位</w:t>
            </w:r>
            <w:bookmarkEnd w:id="329"/>
            <w:bookmarkEnd w:id="330"/>
            <w:bookmarkEnd w:id="331"/>
            <w:bookmarkEnd w:id="332"/>
          </w:p>
        </w:tc>
        <w:tc>
          <w:tcPr>
            <w:tcW w:w="1920" w:type="dxa"/>
            <w:vAlign w:val="center"/>
          </w:tcPr>
          <w:p>
            <w:pPr>
              <w:spacing w:line="240" w:lineRule="auto"/>
              <w:jc w:val="center"/>
              <w:rPr>
                <w:sz w:val="24"/>
              </w:rPr>
            </w:pPr>
            <w:bookmarkStart w:id="333" w:name="_Toc5995"/>
            <w:bookmarkStart w:id="334" w:name="_Toc29000"/>
            <w:bookmarkStart w:id="335" w:name="_Toc19245"/>
            <w:bookmarkStart w:id="336" w:name="_Toc26045"/>
            <w:r>
              <w:rPr>
                <w:sz w:val="24"/>
              </w:rPr>
              <w:t>等效连续A声级（Leq）</w:t>
            </w:r>
            <w:bookmarkEnd w:id="333"/>
            <w:bookmarkEnd w:id="334"/>
            <w:bookmarkEnd w:id="335"/>
            <w:bookmarkEnd w:id="336"/>
          </w:p>
        </w:tc>
        <w:tc>
          <w:tcPr>
            <w:tcW w:w="1457" w:type="dxa"/>
            <w:vAlign w:val="center"/>
          </w:tcPr>
          <w:p>
            <w:pPr>
              <w:spacing w:line="240" w:lineRule="auto"/>
              <w:jc w:val="center"/>
              <w:rPr>
                <w:sz w:val="24"/>
              </w:rPr>
            </w:pPr>
            <w:r>
              <w:rPr>
                <w:rFonts w:hint="eastAsia"/>
                <w:sz w:val="24"/>
              </w:rPr>
              <w:t>20</w:t>
            </w:r>
            <w:r>
              <w:rPr>
                <w:rFonts w:hint="eastAsia"/>
                <w:sz w:val="24"/>
                <w:lang w:val="en-US" w:eastAsia="zh-CN"/>
              </w:rPr>
              <w:t>22</w:t>
            </w:r>
            <w:r>
              <w:rPr>
                <w:rFonts w:hint="eastAsia"/>
                <w:sz w:val="24"/>
              </w:rPr>
              <w:t>年</w:t>
            </w:r>
            <w:r>
              <w:rPr>
                <w:rFonts w:hint="eastAsia"/>
                <w:sz w:val="24"/>
                <w:lang w:val="en-US" w:eastAsia="zh-CN"/>
              </w:rPr>
              <w:t>4</w:t>
            </w:r>
            <w:r>
              <w:rPr>
                <w:rFonts w:hint="eastAsia"/>
                <w:sz w:val="24"/>
              </w:rPr>
              <w:t>月</w:t>
            </w:r>
            <w:r>
              <w:rPr>
                <w:rFonts w:hint="eastAsia"/>
                <w:sz w:val="24"/>
                <w:lang w:val="en-US" w:eastAsia="zh-CN"/>
              </w:rPr>
              <w:t>12</w:t>
            </w:r>
            <w:r>
              <w:rPr>
                <w:rFonts w:hint="eastAsia"/>
                <w:sz w:val="24"/>
              </w:rPr>
              <w:t>日-20</w:t>
            </w:r>
            <w:r>
              <w:rPr>
                <w:rFonts w:hint="eastAsia"/>
                <w:sz w:val="24"/>
                <w:lang w:val="en-US" w:eastAsia="zh-CN"/>
              </w:rPr>
              <w:t>22</w:t>
            </w:r>
            <w:r>
              <w:rPr>
                <w:rFonts w:hint="eastAsia"/>
                <w:sz w:val="24"/>
              </w:rPr>
              <w:t>年</w:t>
            </w:r>
            <w:r>
              <w:rPr>
                <w:rFonts w:hint="eastAsia"/>
                <w:sz w:val="24"/>
                <w:lang w:val="en-US" w:eastAsia="zh-CN"/>
              </w:rPr>
              <w:t>4</w:t>
            </w:r>
            <w:r>
              <w:rPr>
                <w:rFonts w:hint="eastAsia"/>
                <w:sz w:val="24"/>
              </w:rPr>
              <w:t>月</w:t>
            </w:r>
            <w:r>
              <w:rPr>
                <w:rFonts w:hint="eastAsia"/>
                <w:sz w:val="24"/>
                <w:lang w:val="en-US" w:eastAsia="zh-CN"/>
              </w:rPr>
              <w:t>13</w:t>
            </w:r>
            <w:r>
              <w:rPr>
                <w:rFonts w:hint="eastAsia"/>
                <w:sz w:val="24"/>
              </w:rPr>
              <w:t>日</w:t>
            </w:r>
          </w:p>
        </w:tc>
        <w:tc>
          <w:tcPr>
            <w:tcW w:w="1836" w:type="dxa"/>
            <w:vAlign w:val="center"/>
          </w:tcPr>
          <w:p>
            <w:pPr>
              <w:spacing w:line="240" w:lineRule="auto"/>
              <w:jc w:val="center"/>
              <w:rPr>
                <w:sz w:val="24"/>
              </w:rPr>
            </w:pPr>
            <w:bookmarkStart w:id="337" w:name="_Toc22391"/>
            <w:bookmarkStart w:id="338" w:name="_Toc24146"/>
            <w:bookmarkStart w:id="339" w:name="_Toc783"/>
            <w:bookmarkStart w:id="340" w:name="_Toc9277"/>
            <w:r>
              <w:rPr>
                <w:sz w:val="24"/>
              </w:rPr>
              <w:t>昼间、</w:t>
            </w:r>
            <w:bookmarkEnd w:id="337"/>
            <w:bookmarkEnd w:id="338"/>
            <w:bookmarkEnd w:id="339"/>
            <w:bookmarkEnd w:id="340"/>
            <w:bookmarkStart w:id="341" w:name="_Toc377"/>
            <w:bookmarkStart w:id="342" w:name="_Toc9167"/>
            <w:bookmarkStart w:id="343" w:name="_Toc17180"/>
            <w:bookmarkStart w:id="344" w:name="_Toc7573"/>
            <w:r>
              <w:rPr>
                <w:sz w:val="24"/>
              </w:rPr>
              <w:t>夜间</w:t>
            </w:r>
            <w:bookmarkEnd w:id="341"/>
            <w:bookmarkEnd w:id="342"/>
            <w:bookmarkEnd w:id="343"/>
            <w:bookmarkEnd w:id="344"/>
          </w:p>
          <w:p>
            <w:pPr>
              <w:spacing w:line="240" w:lineRule="auto"/>
              <w:jc w:val="center"/>
              <w:rPr>
                <w:sz w:val="24"/>
              </w:rPr>
            </w:pPr>
            <w:bookmarkStart w:id="345" w:name="_Toc13620"/>
            <w:bookmarkStart w:id="346" w:name="_Toc10056"/>
            <w:bookmarkStart w:id="347" w:name="_Toc23168"/>
            <w:bookmarkStart w:id="348" w:name="_Toc25565"/>
            <w:r>
              <w:rPr>
                <w:sz w:val="24"/>
              </w:rPr>
              <w:t>2次/天</w:t>
            </w:r>
            <w:bookmarkEnd w:id="345"/>
            <w:bookmarkEnd w:id="346"/>
            <w:bookmarkEnd w:id="347"/>
            <w:bookmarkEnd w:id="348"/>
          </w:p>
          <w:p>
            <w:pPr>
              <w:spacing w:line="240" w:lineRule="auto"/>
              <w:jc w:val="center"/>
              <w:rPr>
                <w:sz w:val="24"/>
              </w:rPr>
            </w:pPr>
            <w:r>
              <w:rPr>
                <w:sz w:val="24"/>
              </w:rPr>
              <w:t>连续两天</w:t>
            </w:r>
          </w:p>
        </w:tc>
      </w:tr>
    </w:tbl>
    <w:p>
      <w:pPr>
        <w:ind w:firstLine="560" w:firstLineChars="200"/>
        <w:rPr>
          <w:bCs/>
          <w:szCs w:val="22"/>
        </w:rPr>
      </w:pPr>
      <w:r>
        <w:rPr>
          <w:rFonts w:hint="eastAsia"/>
          <w:bCs/>
          <w:szCs w:val="22"/>
        </w:rPr>
        <w:t>监测结果见表7-</w:t>
      </w:r>
      <w:r>
        <w:rPr>
          <w:rFonts w:hint="eastAsia"/>
          <w:bCs/>
          <w:szCs w:val="22"/>
          <w:lang w:val="en-US" w:eastAsia="zh-CN"/>
        </w:rPr>
        <w:t>2</w:t>
      </w:r>
      <w:r>
        <w:rPr>
          <w:rFonts w:hint="eastAsia"/>
          <w:bCs/>
          <w:szCs w:val="22"/>
        </w:rPr>
        <w:t>。</w:t>
      </w:r>
    </w:p>
    <w:p>
      <w:pPr>
        <w:ind w:firstLine="482" w:firstLineChars="200"/>
        <w:rPr>
          <w:b/>
          <w:bCs/>
          <w:color w:val="000000"/>
          <w:sz w:val="21"/>
          <w:szCs w:val="21"/>
        </w:rPr>
      </w:pPr>
      <w:r>
        <w:rPr>
          <w:b/>
          <w:bCs/>
          <w:color w:val="000000"/>
          <w:sz w:val="24"/>
        </w:rPr>
        <w:t>表</w:t>
      </w:r>
      <w:r>
        <w:rPr>
          <w:rFonts w:hint="eastAsia"/>
          <w:b/>
          <w:bCs/>
          <w:color w:val="000000"/>
          <w:sz w:val="24"/>
        </w:rPr>
        <w:t>7-</w:t>
      </w:r>
      <w:r>
        <w:rPr>
          <w:rFonts w:hint="eastAsia"/>
          <w:b/>
          <w:bCs/>
          <w:color w:val="000000"/>
          <w:sz w:val="24"/>
          <w:lang w:val="en-US" w:eastAsia="zh-CN"/>
        </w:rPr>
        <w:t>2                 神泉联合站</w:t>
      </w:r>
      <w:r>
        <w:rPr>
          <w:b/>
          <w:bCs/>
          <w:color w:val="000000"/>
          <w:sz w:val="24"/>
        </w:rPr>
        <w:t>厂界噪声监测结果</w:t>
      </w:r>
    </w:p>
    <w:tbl>
      <w:tblPr>
        <w:tblStyle w:val="40"/>
        <w:tblW w:w="858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0" w:type="dxa"/>
          <w:right w:w="108" w:type="dxa"/>
        </w:tblCellMar>
      </w:tblPr>
      <w:tblGrid>
        <w:gridCol w:w="1853"/>
        <w:gridCol w:w="933"/>
        <w:gridCol w:w="1617"/>
        <w:gridCol w:w="1450"/>
        <w:gridCol w:w="1383"/>
        <w:gridCol w:w="13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853" w:type="dxa"/>
            <w:vMerge w:val="restart"/>
            <w:tcBorders>
              <w:tl2br w:val="nil"/>
              <w:tr2bl w:val="nil"/>
            </w:tcBorders>
            <w:vAlign w:val="center"/>
          </w:tcPr>
          <w:p>
            <w:pPr>
              <w:spacing w:beforeLines="50" w:afterLines="50"/>
              <w:rPr>
                <w:sz w:val="24"/>
              </w:rPr>
            </w:pPr>
            <w:r>
              <w:rPr>
                <w:sz w:val="24"/>
              </w:rPr>
              <w:t>监测地点</w:t>
            </w:r>
          </w:p>
        </w:tc>
        <w:tc>
          <w:tcPr>
            <w:tcW w:w="933" w:type="dxa"/>
            <w:vMerge w:val="restart"/>
            <w:tcBorders>
              <w:tl2br w:val="nil"/>
              <w:tr2bl w:val="nil"/>
            </w:tcBorders>
            <w:vAlign w:val="center"/>
          </w:tcPr>
          <w:p>
            <w:pPr>
              <w:spacing w:line="240" w:lineRule="auto"/>
              <w:jc w:val="center"/>
              <w:rPr>
                <w:sz w:val="24"/>
              </w:rPr>
            </w:pPr>
            <w:r>
              <w:rPr>
                <w:rFonts w:hint="eastAsia"/>
                <w:sz w:val="24"/>
              </w:rPr>
              <w:t>点位</w:t>
            </w:r>
          </w:p>
          <w:p>
            <w:pPr>
              <w:spacing w:line="240" w:lineRule="auto"/>
              <w:jc w:val="center"/>
              <w:rPr>
                <w:sz w:val="24"/>
              </w:rPr>
            </w:pPr>
            <w:r>
              <w:rPr>
                <w:rFonts w:hint="eastAsia"/>
                <w:sz w:val="24"/>
              </w:rPr>
              <w:t>编号</w:t>
            </w:r>
          </w:p>
        </w:tc>
        <w:tc>
          <w:tcPr>
            <w:tcW w:w="3067" w:type="dxa"/>
            <w:gridSpan w:val="2"/>
            <w:tcBorders>
              <w:tl2br w:val="nil"/>
              <w:tr2bl w:val="nil"/>
            </w:tcBorders>
            <w:vAlign w:val="center"/>
          </w:tcPr>
          <w:p>
            <w:pPr>
              <w:spacing w:line="240" w:lineRule="auto"/>
              <w:jc w:val="center"/>
              <w:rPr>
                <w:rFonts w:hint="default" w:eastAsia="宋体"/>
                <w:color w:val="000000"/>
                <w:sz w:val="24"/>
                <w:lang w:val="en-US" w:eastAsia="zh-CN"/>
              </w:rPr>
            </w:pPr>
            <w:r>
              <w:rPr>
                <w:rFonts w:hint="eastAsia"/>
                <w:color w:val="000000"/>
                <w:sz w:val="24"/>
                <w:lang w:val="en-US" w:eastAsia="zh-CN"/>
              </w:rPr>
              <w:t>2022.4.12</w:t>
            </w:r>
          </w:p>
          <w:p>
            <w:pPr>
              <w:spacing w:line="240" w:lineRule="auto"/>
              <w:jc w:val="center"/>
              <w:rPr>
                <w:sz w:val="24"/>
              </w:rPr>
            </w:pPr>
            <w:r>
              <w:rPr>
                <w:sz w:val="24"/>
              </w:rPr>
              <w:t>测量</w:t>
            </w:r>
            <w:r>
              <w:rPr>
                <w:rFonts w:hint="eastAsia"/>
                <w:sz w:val="24"/>
              </w:rPr>
              <w:t>结果Leq（dB（A））</w:t>
            </w:r>
          </w:p>
        </w:tc>
        <w:tc>
          <w:tcPr>
            <w:tcW w:w="2736" w:type="dxa"/>
            <w:gridSpan w:val="2"/>
            <w:tcBorders>
              <w:tl2br w:val="nil"/>
              <w:tr2bl w:val="nil"/>
            </w:tcBorders>
            <w:vAlign w:val="center"/>
          </w:tcPr>
          <w:p>
            <w:pPr>
              <w:spacing w:line="240" w:lineRule="auto"/>
              <w:jc w:val="center"/>
              <w:rPr>
                <w:rFonts w:hint="default" w:eastAsia="宋体"/>
                <w:color w:val="000000"/>
                <w:sz w:val="24"/>
                <w:lang w:val="en-US" w:eastAsia="zh-CN"/>
              </w:rPr>
            </w:pPr>
            <w:r>
              <w:rPr>
                <w:rFonts w:hint="eastAsia"/>
                <w:color w:val="000000"/>
                <w:sz w:val="24"/>
                <w:lang w:val="en-US" w:eastAsia="zh-CN"/>
              </w:rPr>
              <w:t>2022.4.13</w:t>
            </w:r>
          </w:p>
          <w:p>
            <w:pPr>
              <w:spacing w:line="240" w:lineRule="auto"/>
              <w:jc w:val="center"/>
              <w:rPr>
                <w:sz w:val="24"/>
              </w:rPr>
            </w:pPr>
            <w:r>
              <w:rPr>
                <w:sz w:val="24"/>
              </w:rPr>
              <w:t>测量</w:t>
            </w:r>
            <w:r>
              <w:rPr>
                <w:rFonts w:hint="eastAsia"/>
                <w:sz w:val="24"/>
              </w:rPr>
              <w:t>结果Leq（dB（A））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853" w:type="dxa"/>
            <w:vMerge w:val="continue"/>
            <w:tcBorders>
              <w:tl2br w:val="nil"/>
              <w:tr2bl w:val="nil"/>
            </w:tcBorders>
            <w:vAlign w:val="center"/>
          </w:tcPr>
          <w:p>
            <w:pPr>
              <w:spacing w:line="240" w:lineRule="auto"/>
              <w:jc w:val="center"/>
              <w:rPr>
                <w:sz w:val="24"/>
              </w:rPr>
            </w:pPr>
          </w:p>
        </w:tc>
        <w:tc>
          <w:tcPr>
            <w:tcW w:w="933" w:type="dxa"/>
            <w:vMerge w:val="continue"/>
            <w:tcBorders>
              <w:tl2br w:val="nil"/>
              <w:tr2bl w:val="nil"/>
            </w:tcBorders>
            <w:vAlign w:val="center"/>
          </w:tcPr>
          <w:p>
            <w:pPr>
              <w:spacing w:line="240" w:lineRule="auto"/>
              <w:jc w:val="center"/>
              <w:rPr>
                <w:sz w:val="24"/>
              </w:rPr>
            </w:pPr>
          </w:p>
        </w:tc>
        <w:tc>
          <w:tcPr>
            <w:tcW w:w="1617" w:type="dxa"/>
            <w:tcBorders>
              <w:tl2br w:val="nil"/>
              <w:tr2bl w:val="nil"/>
            </w:tcBorders>
            <w:vAlign w:val="center"/>
          </w:tcPr>
          <w:p>
            <w:pPr>
              <w:spacing w:line="240" w:lineRule="auto"/>
              <w:jc w:val="center"/>
              <w:rPr>
                <w:sz w:val="24"/>
              </w:rPr>
            </w:pPr>
            <w:r>
              <w:rPr>
                <w:sz w:val="24"/>
              </w:rPr>
              <w:t>昼</w:t>
            </w:r>
          </w:p>
        </w:tc>
        <w:tc>
          <w:tcPr>
            <w:tcW w:w="1450" w:type="dxa"/>
            <w:tcBorders>
              <w:tl2br w:val="nil"/>
              <w:tr2bl w:val="nil"/>
            </w:tcBorders>
            <w:vAlign w:val="center"/>
          </w:tcPr>
          <w:p>
            <w:pPr>
              <w:spacing w:line="240" w:lineRule="auto"/>
              <w:jc w:val="center"/>
              <w:rPr>
                <w:sz w:val="24"/>
              </w:rPr>
            </w:pPr>
            <w:r>
              <w:rPr>
                <w:sz w:val="24"/>
              </w:rPr>
              <w:t>夜</w:t>
            </w:r>
          </w:p>
        </w:tc>
        <w:tc>
          <w:tcPr>
            <w:tcW w:w="1383" w:type="dxa"/>
            <w:tcBorders>
              <w:tl2br w:val="nil"/>
              <w:tr2bl w:val="nil"/>
            </w:tcBorders>
            <w:vAlign w:val="center"/>
          </w:tcPr>
          <w:p>
            <w:pPr>
              <w:spacing w:line="240" w:lineRule="auto"/>
              <w:jc w:val="center"/>
              <w:rPr>
                <w:sz w:val="24"/>
              </w:rPr>
            </w:pPr>
            <w:r>
              <w:rPr>
                <w:sz w:val="24"/>
              </w:rPr>
              <w:t>昼</w:t>
            </w:r>
          </w:p>
        </w:tc>
        <w:tc>
          <w:tcPr>
            <w:tcW w:w="1353" w:type="dxa"/>
            <w:tcBorders>
              <w:tl2br w:val="nil"/>
              <w:tr2bl w:val="nil"/>
            </w:tcBorders>
            <w:vAlign w:val="center"/>
          </w:tcPr>
          <w:p>
            <w:pPr>
              <w:spacing w:line="240" w:lineRule="auto"/>
              <w:jc w:val="center"/>
              <w:rPr>
                <w:sz w:val="24"/>
              </w:rPr>
            </w:pPr>
            <w:r>
              <w:rPr>
                <w:sz w:val="24"/>
              </w:rPr>
              <w:t>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853" w:type="dxa"/>
            <w:tcBorders>
              <w:tl2br w:val="nil"/>
              <w:tr2bl w:val="nil"/>
            </w:tcBorders>
            <w:vAlign w:val="center"/>
          </w:tcPr>
          <w:p>
            <w:pPr>
              <w:spacing w:line="240" w:lineRule="auto"/>
              <w:jc w:val="center"/>
              <w:rPr>
                <w:rFonts w:hint="eastAsia" w:eastAsia="宋体"/>
                <w:color w:val="auto"/>
                <w:sz w:val="24"/>
                <w:lang w:eastAsia="zh-CN"/>
              </w:rPr>
            </w:pPr>
            <w:r>
              <w:rPr>
                <w:rFonts w:hint="eastAsia"/>
                <w:color w:val="auto"/>
                <w:sz w:val="24"/>
                <w:lang w:val="en-US" w:eastAsia="zh-CN"/>
              </w:rPr>
              <w:t>东</w:t>
            </w:r>
          </w:p>
        </w:tc>
        <w:tc>
          <w:tcPr>
            <w:tcW w:w="933" w:type="dxa"/>
            <w:tcBorders>
              <w:tl2br w:val="nil"/>
              <w:tr2bl w:val="nil"/>
            </w:tcBorders>
            <w:vAlign w:val="center"/>
          </w:tcPr>
          <w:p>
            <w:pPr>
              <w:spacing w:line="240" w:lineRule="auto"/>
              <w:jc w:val="center"/>
              <w:rPr>
                <w:color w:val="auto"/>
                <w:sz w:val="24"/>
              </w:rPr>
            </w:pPr>
            <w:r>
              <w:rPr>
                <w:color w:val="auto"/>
                <w:sz w:val="24"/>
              </w:rPr>
              <w:t>1#</w:t>
            </w:r>
          </w:p>
        </w:tc>
        <w:tc>
          <w:tcPr>
            <w:tcW w:w="1617" w:type="dxa"/>
            <w:tcBorders>
              <w:tl2br w:val="nil"/>
              <w:tr2bl w:val="nil"/>
            </w:tcBorders>
            <w:vAlign w:val="center"/>
          </w:tcPr>
          <w:p>
            <w:pPr>
              <w:pStyle w:val="22"/>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49.6</w:t>
            </w:r>
          </w:p>
        </w:tc>
        <w:tc>
          <w:tcPr>
            <w:tcW w:w="1450" w:type="dxa"/>
            <w:tcBorders>
              <w:tl2br w:val="nil"/>
              <w:tr2bl w:val="nil"/>
            </w:tcBorders>
            <w:vAlign w:val="center"/>
          </w:tcPr>
          <w:p>
            <w:pPr>
              <w:pStyle w:val="22"/>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43.5</w:t>
            </w:r>
          </w:p>
        </w:tc>
        <w:tc>
          <w:tcPr>
            <w:tcW w:w="1383" w:type="dxa"/>
            <w:tcBorders>
              <w:tl2br w:val="nil"/>
              <w:tr2bl w:val="nil"/>
            </w:tcBorders>
            <w:vAlign w:val="center"/>
          </w:tcPr>
          <w:p>
            <w:pPr>
              <w:pStyle w:val="22"/>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46.9</w:t>
            </w:r>
          </w:p>
        </w:tc>
        <w:tc>
          <w:tcPr>
            <w:tcW w:w="1353" w:type="dxa"/>
            <w:tcBorders>
              <w:tl2br w:val="nil"/>
              <w:tr2bl w:val="nil"/>
            </w:tcBorders>
            <w:vAlign w:val="center"/>
          </w:tcPr>
          <w:p>
            <w:pPr>
              <w:pStyle w:val="22"/>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43.6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853" w:type="dxa"/>
            <w:tcBorders>
              <w:tl2br w:val="nil"/>
              <w:tr2bl w:val="nil"/>
            </w:tcBorders>
            <w:vAlign w:val="center"/>
          </w:tcPr>
          <w:p>
            <w:pPr>
              <w:spacing w:line="240" w:lineRule="auto"/>
              <w:jc w:val="center"/>
              <w:rPr>
                <w:rFonts w:hint="default" w:eastAsia="宋体"/>
                <w:color w:val="auto"/>
                <w:sz w:val="24"/>
                <w:lang w:val="en-US" w:eastAsia="zh-CN"/>
              </w:rPr>
            </w:pPr>
            <w:r>
              <w:rPr>
                <w:rFonts w:hint="eastAsia"/>
                <w:color w:val="auto"/>
                <w:sz w:val="24"/>
                <w:lang w:val="en-US" w:eastAsia="zh-CN"/>
              </w:rPr>
              <w:t>南</w:t>
            </w:r>
          </w:p>
        </w:tc>
        <w:tc>
          <w:tcPr>
            <w:tcW w:w="933" w:type="dxa"/>
            <w:tcBorders>
              <w:tl2br w:val="nil"/>
              <w:tr2bl w:val="nil"/>
            </w:tcBorders>
            <w:vAlign w:val="center"/>
          </w:tcPr>
          <w:p>
            <w:pPr>
              <w:spacing w:line="240" w:lineRule="auto"/>
              <w:jc w:val="center"/>
              <w:rPr>
                <w:color w:val="auto"/>
                <w:sz w:val="24"/>
              </w:rPr>
            </w:pPr>
            <w:r>
              <w:rPr>
                <w:color w:val="auto"/>
                <w:sz w:val="24"/>
              </w:rPr>
              <w:t>2#</w:t>
            </w:r>
          </w:p>
        </w:tc>
        <w:tc>
          <w:tcPr>
            <w:tcW w:w="1617" w:type="dxa"/>
            <w:tcBorders>
              <w:tl2br w:val="nil"/>
              <w:tr2bl w:val="nil"/>
            </w:tcBorders>
            <w:vAlign w:val="center"/>
          </w:tcPr>
          <w:p>
            <w:pPr>
              <w:pStyle w:val="22"/>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53.7</w:t>
            </w:r>
          </w:p>
        </w:tc>
        <w:tc>
          <w:tcPr>
            <w:tcW w:w="1450" w:type="dxa"/>
            <w:tcBorders>
              <w:tl2br w:val="nil"/>
              <w:tr2bl w:val="nil"/>
            </w:tcBorders>
            <w:vAlign w:val="center"/>
          </w:tcPr>
          <w:p>
            <w:pPr>
              <w:pStyle w:val="22"/>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39.8</w:t>
            </w:r>
          </w:p>
        </w:tc>
        <w:tc>
          <w:tcPr>
            <w:tcW w:w="1383" w:type="dxa"/>
            <w:tcBorders>
              <w:tl2br w:val="nil"/>
              <w:tr2bl w:val="nil"/>
            </w:tcBorders>
            <w:vAlign w:val="center"/>
          </w:tcPr>
          <w:p>
            <w:pPr>
              <w:pStyle w:val="22"/>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46.9</w:t>
            </w:r>
          </w:p>
        </w:tc>
        <w:tc>
          <w:tcPr>
            <w:tcW w:w="1353" w:type="dxa"/>
            <w:tcBorders>
              <w:tl2br w:val="nil"/>
              <w:tr2bl w:val="nil"/>
            </w:tcBorders>
            <w:vAlign w:val="center"/>
          </w:tcPr>
          <w:p>
            <w:pPr>
              <w:pStyle w:val="22"/>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43.4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853" w:type="dxa"/>
            <w:tcBorders>
              <w:tl2br w:val="nil"/>
              <w:tr2bl w:val="nil"/>
            </w:tcBorders>
            <w:vAlign w:val="center"/>
          </w:tcPr>
          <w:p>
            <w:pPr>
              <w:spacing w:line="240" w:lineRule="auto"/>
              <w:jc w:val="center"/>
              <w:rPr>
                <w:rFonts w:hint="eastAsia" w:eastAsia="宋体"/>
                <w:color w:val="auto"/>
                <w:sz w:val="24"/>
                <w:lang w:eastAsia="zh-CN"/>
              </w:rPr>
            </w:pPr>
            <w:r>
              <w:rPr>
                <w:rFonts w:hint="eastAsia"/>
                <w:color w:val="auto"/>
                <w:sz w:val="24"/>
                <w:lang w:val="en-US" w:eastAsia="zh-CN"/>
              </w:rPr>
              <w:t>西</w:t>
            </w:r>
          </w:p>
        </w:tc>
        <w:tc>
          <w:tcPr>
            <w:tcW w:w="933" w:type="dxa"/>
            <w:tcBorders>
              <w:tl2br w:val="nil"/>
              <w:tr2bl w:val="nil"/>
            </w:tcBorders>
            <w:vAlign w:val="center"/>
          </w:tcPr>
          <w:p>
            <w:pPr>
              <w:spacing w:line="240" w:lineRule="auto"/>
              <w:jc w:val="center"/>
              <w:rPr>
                <w:color w:val="auto"/>
                <w:sz w:val="24"/>
              </w:rPr>
            </w:pPr>
            <w:r>
              <w:rPr>
                <w:color w:val="auto"/>
                <w:sz w:val="24"/>
              </w:rPr>
              <w:t>3#</w:t>
            </w:r>
          </w:p>
        </w:tc>
        <w:tc>
          <w:tcPr>
            <w:tcW w:w="1617" w:type="dxa"/>
            <w:tcBorders>
              <w:tl2br w:val="nil"/>
              <w:tr2bl w:val="nil"/>
            </w:tcBorders>
            <w:vAlign w:val="center"/>
          </w:tcPr>
          <w:p>
            <w:pPr>
              <w:pStyle w:val="22"/>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50.4</w:t>
            </w:r>
          </w:p>
        </w:tc>
        <w:tc>
          <w:tcPr>
            <w:tcW w:w="1450" w:type="dxa"/>
            <w:tcBorders>
              <w:tl2br w:val="nil"/>
              <w:tr2bl w:val="nil"/>
            </w:tcBorders>
            <w:vAlign w:val="center"/>
          </w:tcPr>
          <w:p>
            <w:pPr>
              <w:pStyle w:val="22"/>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41.7</w:t>
            </w:r>
          </w:p>
        </w:tc>
        <w:tc>
          <w:tcPr>
            <w:tcW w:w="1383" w:type="dxa"/>
            <w:tcBorders>
              <w:tl2br w:val="nil"/>
              <w:tr2bl w:val="nil"/>
            </w:tcBorders>
            <w:vAlign w:val="center"/>
          </w:tcPr>
          <w:p>
            <w:pPr>
              <w:pStyle w:val="22"/>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46.2</w:t>
            </w:r>
          </w:p>
        </w:tc>
        <w:tc>
          <w:tcPr>
            <w:tcW w:w="1353" w:type="dxa"/>
            <w:tcBorders>
              <w:tl2br w:val="nil"/>
              <w:tr2bl w:val="nil"/>
            </w:tcBorders>
            <w:vAlign w:val="center"/>
          </w:tcPr>
          <w:p>
            <w:pPr>
              <w:pStyle w:val="22"/>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43.5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853" w:type="dxa"/>
            <w:tcBorders>
              <w:tl2br w:val="nil"/>
              <w:tr2bl w:val="nil"/>
            </w:tcBorders>
            <w:vAlign w:val="center"/>
          </w:tcPr>
          <w:p>
            <w:pPr>
              <w:spacing w:line="240" w:lineRule="auto"/>
              <w:jc w:val="center"/>
              <w:rPr>
                <w:rFonts w:hint="eastAsia" w:eastAsia="宋体"/>
                <w:color w:val="auto"/>
                <w:sz w:val="24"/>
                <w:lang w:eastAsia="zh-CN"/>
              </w:rPr>
            </w:pPr>
            <w:r>
              <w:rPr>
                <w:rFonts w:hint="eastAsia"/>
                <w:color w:val="auto"/>
                <w:sz w:val="24"/>
                <w:lang w:val="en-US" w:eastAsia="zh-CN"/>
              </w:rPr>
              <w:t>北</w:t>
            </w:r>
          </w:p>
        </w:tc>
        <w:tc>
          <w:tcPr>
            <w:tcW w:w="933" w:type="dxa"/>
            <w:tcBorders>
              <w:tl2br w:val="nil"/>
              <w:tr2bl w:val="nil"/>
            </w:tcBorders>
            <w:vAlign w:val="center"/>
          </w:tcPr>
          <w:p>
            <w:pPr>
              <w:spacing w:line="240" w:lineRule="auto"/>
              <w:jc w:val="center"/>
              <w:rPr>
                <w:color w:val="auto"/>
                <w:sz w:val="24"/>
              </w:rPr>
            </w:pPr>
            <w:r>
              <w:rPr>
                <w:color w:val="auto"/>
                <w:sz w:val="24"/>
              </w:rPr>
              <w:t>4#</w:t>
            </w:r>
          </w:p>
        </w:tc>
        <w:tc>
          <w:tcPr>
            <w:tcW w:w="1617" w:type="dxa"/>
            <w:tcBorders>
              <w:tl2br w:val="nil"/>
              <w:tr2bl w:val="nil"/>
            </w:tcBorders>
            <w:vAlign w:val="center"/>
          </w:tcPr>
          <w:p>
            <w:pPr>
              <w:pStyle w:val="22"/>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45.5</w:t>
            </w:r>
          </w:p>
        </w:tc>
        <w:tc>
          <w:tcPr>
            <w:tcW w:w="1450" w:type="dxa"/>
            <w:tcBorders>
              <w:tl2br w:val="nil"/>
              <w:tr2bl w:val="nil"/>
            </w:tcBorders>
            <w:vAlign w:val="center"/>
          </w:tcPr>
          <w:p>
            <w:pPr>
              <w:pStyle w:val="22"/>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36.9</w:t>
            </w:r>
          </w:p>
        </w:tc>
        <w:tc>
          <w:tcPr>
            <w:tcW w:w="1383" w:type="dxa"/>
            <w:tcBorders>
              <w:tl2br w:val="nil"/>
              <w:tr2bl w:val="nil"/>
            </w:tcBorders>
            <w:vAlign w:val="center"/>
          </w:tcPr>
          <w:p>
            <w:pPr>
              <w:pStyle w:val="22"/>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46.0</w:t>
            </w:r>
          </w:p>
        </w:tc>
        <w:tc>
          <w:tcPr>
            <w:tcW w:w="1353" w:type="dxa"/>
            <w:tcBorders>
              <w:tl2br w:val="nil"/>
              <w:tr2bl w:val="nil"/>
            </w:tcBorders>
            <w:vAlign w:val="center"/>
          </w:tcPr>
          <w:p>
            <w:pPr>
              <w:pStyle w:val="22"/>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41.5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853" w:type="dxa"/>
            <w:tcBorders>
              <w:tl2br w:val="nil"/>
              <w:tr2bl w:val="nil"/>
            </w:tcBorders>
            <w:vAlign w:val="center"/>
          </w:tcPr>
          <w:p>
            <w:pPr>
              <w:jc w:val="center"/>
              <w:rPr>
                <w:color w:val="000000"/>
                <w:kern w:val="0"/>
                <w:sz w:val="24"/>
              </w:rPr>
            </w:pPr>
            <w:r>
              <w:rPr>
                <w:rFonts w:hint="eastAsia"/>
                <w:color w:val="000000"/>
                <w:kern w:val="0"/>
                <w:sz w:val="24"/>
              </w:rPr>
              <w:t>标准值</w:t>
            </w:r>
          </w:p>
        </w:tc>
        <w:tc>
          <w:tcPr>
            <w:tcW w:w="933" w:type="dxa"/>
            <w:tcBorders>
              <w:tl2br w:val="nil"/>
              <w:tr2bl w:val="nil"/>
            </w:tcBorders>
            <w:vAlign w:val="center"/>
          </w:tcPr>
          <w:p>
            <w:pPr>
              <w:jc w:val="center"/>
              <w:rPr>
                <w:color w:val="000000"/>
                <w:sz w:val="24"/>
              </w:rPr>
            </w:pPr>
            <w:r>
              <w:rPr>
                <w:rFonts w:hint="eastAsia"/>
                <w:color w:val="000000"/>
                <w:sz w:val="24"/>
              </w:rPr>
              <w:t>/</w:t>
            </w:r>
          </w:p>
        </w:tc>
        <w:tc>
          <w:tcPr>
            <w:tcW w:w="1617" w:type="dxa"/>
            <w:tcBorders>
              <w:tl2br w:val="nil"/>
              <w:tr2bl w:val="nil"/>
            </w:tcBorders>
            <w:vAlign w:val="center"/>
          </w:tcPr>
          <w:p>
            <w:pPr>
              <w:pStyle w:val="22"/>
              <w:jc w:val="center"/>
              <w:rPr>
                <w:rFonts w:ascii="Times New Roman" w:hAnsi="Times New Roman"/>
                <w:color w:val="000000"/>
                <w:sz w:val="24"/>
                <w:szCs w:val="24"/>
              </w:rPr>
            </w:pPr>
            <w:r>
              <w:rPr>
                <w:rFonts w:hint="eastAsia" w:ascii="Times New Roman" w:hAnsi="Times New Roman"/>
                <w:color w:val="000000"/>
                <w:sz w:val="24"/>
                <w:szCs w:val="24"/>
              </w:rPr>
              <w:t>65</w:t>
            </w:r>
          </w:p>
        </w:tc>
        <w:tc>
          <w:tcPr>
            <w:tcW w:w="1450" w:type="dxa"/>
            <w:tcBorders>
              <w:tl2br w:val="nil"/>
              <w:tr2bl w:val="nil"/>
            </w:tcBorders>
            <w:vAlign w:val="center"/>
          </w:tcPr>
          <w:p>
            <w:pPr>
              <w:pStyle w:val="22"/>
              <w:jc w:val="center"/>
              <w:rPr>
                <w:rFonts w:ascii="Times New Roman" w:hAnsi="Times New Roman"/>
                <w:color w:val="000000"/>
                <w:kern w:val="0"/>
                <w:sz w:val="24"/>
                <w:szCs w:val="24"/>
              </w:rPr>
            </w:pPr>
            <w:r>
              <w:rPr>
                <w:rFonts w:hint="eastAsia" w:ascii="Times New Roman" w:hAnsi="Times New Roman"/>
                <w:color w:val="000000"/>
                <w:kern w:val="0"/>
                <w:sz w:val="24"/>
                <w:szCs w:val="24"/>
              </w:rPr>
              <w:t>55</w:t>
            </w:r>
          </w:p>
        </w:tc>
        <w:tc>
          <w:tcPr>
            <w:tcW w:w="1383" w:type="dxa"/>
            <w:tcBorders>
              <w:tl2br w:val="nil"/>
              <w:tr2bl w:val="nil"/>
            </w:tcBorders>
            <w:vAlign w:val="center"/>
          </w:tcPr>
          <w:p>
            <w:pPr>
              <w:pStyle w:val="22"/>
              <w:jc w:val="center"/>
              <w:rPr>
                <w:rFonts w:ascii="Times New Roman" w:hAnsi="Times New Roman"/>
                <w:color w:val="000000"/>
                <w:sz w:val="24"/>
                <w:szCs w:val="24"/>
              </w:rPr>
            </w:pPr>
            <w:r>
              <w:rPr>
                <w:rFonts w:hint="eastAsia" w:ascii="Times New Roman" w:hAnsi="Times New Roman"/>
                <w:color w:val="000000"/>
                <w:sz w:val="24"/>
                <w:szCs w:val="24"/>
              </w:rPr>
              <w:t>65</w:t>
            </w:r>
          </w:p>
        </w:tc>
        <w:tc>
          <w:tcPr>
            <w:tcW w:w="1353" w:type="dxa"/>
            <w:tcBorders>
              <w:tl2br w:val="nil"/>
              <w:tr2bl w:val="nil"/>
            </w:tcBorders>
            <w:vAlign w:val="center"/>
          </w:tcPr>
          <w:p>
            <w:pPr>
              <w:pStyle w:val="22"/>
              <w:jc w:val="center"/>
              <w:rPr>
                <w:rFonts w:ascii="Times New Roman" w:hAnsi="Times New Roman"/>
                <w:color w:val="000000"/>
                <w:kern w:val="0"/>
                <w:sz w:val="24"/>
                <w:szCs w:val="24"/>
              </w:rPr>
            </w:pPr>
            <w:r>
              <w:rPr>
                <w:rFonts w:hint="eastAsia" w:ascii="Times New Roman" w:hAnsi="Times New Roman"/>
                <w:color w:val="000000"/>
                <w:kern w:val="0"/>
                <w:sz w:val="24"/>
                <w:szCs w:val="24"/>
              </w:rPr>
              <w:t>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0" w:type="dxa"/>
            <w:right w:w="108" w:type="dxa"/>
          </w:tblCellMar>
        </w:tblPrEx>
        <w:trPr>
          <w:trHeight w:val="454" w:hRule="atLeast"/>
          <w:jc w:val="center"/>
        </w:trPr>
        <w:tc>
          <w:tcPr>
            <w:tcW w:w="1853" w:type="dxa"/>
            <w:tcBorders>
              <w:tl2br w:val="nil"/>
              <w:tr2bl w:val="nil"/>
            </w:tcBorders>
            <w:vAlign w:val="center"/>
          </w:tcPr>
          <w:p>
            <w:pPr>
              <w:jc w:val="center"/>
              <w:rPr>
                <w:color w:val="000000"/>
                <w:kern w:val="0"/>
                <w:sz w:val="24"/>
              </w:rPr>
            </w:pPr>
            <w:r>
              <w:rPr>
                <w:rFonts w:hint="eastAsia"/>
                <w:color w:val="000000"/>
                <w:kern w:val="0"/>
                <w:sz w:val="24"/>
              </w:rPr>
              <w:t>是否达标</w:t>
            </w:r>
          </w:p>
        </w:tc>
        <w:tc>
          <w:tcPr>
            <w:tcW w:w="933" w:type="dxa"/>
            <w:tcBorders>
              <w:tl2br w:val="nil"/>
              <w:tr2bl w:val="nil"/>
            </w:tcBorders>
            <w:vAlign w:val="center"/>
          </w:tcPr>
          <w:p>
            <w:pPr>
              <w:jc w:val="center"/>
              <w:rPr>
                <w:color w:val="000000"/>
                <w:sz w:val="24"/>
              </w:rPr>
            </w:pPr>
            <w:r>
              <w:rPr>
                <w:rFonts w:hint="eastAsia"/>
                <w:color w:val="000000"/>
                <w:sz w:val="24"/>
              </w:rPr>
              <w:t>/</w:t>
            </w:r>
          </w:p>
        </w:tc>
        <w:tc>
          <w:tcPr>
            <w:tcW w:w="1617" w:type="dxa"/>
            <w:tcBorders>
              <w:tl2br w:val="nil"/>
              <w:tr2bl w:val="nil"/>
            </w:tcBorders>
            <w:vAlign w:val="center"/>
          </w:tcPr>
          <w:p>
            <w:pPr>
              <w:pStyle w:val="22"/>
              <w:jc w:val="center"/>
              <w:rPr>
                <w:rFonts w:ascii="Times New Roman" w:hAnsi="Times New Roman"/>
                <w:color w:val="000000"/>
                <w:sz w:val="24"/>
                <w:szCs w:val="24"/>
              </w:rPr>
            </w:pPr>
            <w:r>
              <w:rPr>
                <w:rFonts w:hint="eastAsia" w:ascii="Times New Roman" w:hAnsi="Times New Roman"/>
                <w:color w:val="000000"/>
                <w:sz w:val="24"/>
                <w:szCs w:val="24"/>
              </w:rPr>
              <w:t>达标</w:t>
            </w:r>
          </w:p>
        </w:tc>
        <w:tc>
          <w:tcPr>
            <w:tcW w:w="1450" w:type="dxa"/>
            <w:tcBorders>
              <w:tl2br w:val="nil"/>
              <w:tr2bl w:val="nil"/>
            </w:tcBorders>
            <w:vAlign w:val="center"/>
          </w:tcPr>
          <w:p>
            <w:pPr>
              <w:pStyle w:val="22"/>
              <w:jc w:val="center"/>
              <w:rPr>
                <w:rFonts w:ascii="Times New Roman" w:hAnsi="Times New Roman"/>
                <w:color w:val="000000"/>
                <w:kern w:val="0"/>
                <w:sz w:val="24"/>
                <w:szCs w:val="24"/>
              </w:rPr>
            </w:pPr>
            <w:r>
              <w:rPr>
                <w:rFonts w:hint="eastAsia" w:ascii="Times New Roman" w:hAnsi="Times New Roman"/>
                <w:color w:val="000000"/>
                <w:sz w:val="24"/>
                <w:szCs w:val="24"/>
              </w:rPr>
              <w:t>达标</w:t>
            </w:r>
          </w:p>
        </w:tc>
        <w:tc>
          <w:tcPr>
            <w:tcW w:w="1383" w:type="dxa"/>
            <w:tcBorders>
              <w:tl2br w:val="nil"/>
              <w:tr2bl w:val="nil"/>
            </w:tcBorders>
            <w:vAlign w:val="center"/>
          </w:tcPr>
          <w:p>
            <w:pPr>
              <w:pStyle w:val="22"/>
              <w:jc w:val="center"/>
              <w:rPr>
                <w:rFonts w:ascii="Times New Roman" w:hAnsi="Times New Roman"/>
                <w:color w:val="000000"/>
                <w:sz w:val="24"/>
                <w:szCs w:val="24"/>
              </w:rPr>
            </w:pPr>
            <w:r>
              <w:rPr>
                <w:rFonts w:hint="eastAsia" w:ascii="Times New Roman" w:hAnsi="Times New Roman"/>
                <w:color w:val="000000"/>
                <w:sz w:val="24"/>
                <w:szCs w:val="24"/>
              </w:rPr>
              <w:t>达标</w:t>
            </w:r>
          </w:p>
        </w:tc>
        <w:tc>
          <w:tcPr>
            <w:tcW w:w="1353" w:type="dxa"/>
            <w:tcBorders>
              <w:tl2br w:val="nil"/>
              <w:tr2bl w:val="nil"/>
            </w:tcBorders>
            <w:vAlign w:val="center"/>
          </w:tcPr>
          <w:p>
            <w:pPr>
              <w:pStyle w:val="22"/>
              <w:jc w:val="center"/>
              <w:rPr>
                <w:rFonts w:ascii="Times New Roman" w:hAnsi="Times New Roman"/>
                <w:color w:val="000000"/>
                <w:kern w:val="0"/>
                <w:sz w:val="24"/>
                <w:szCs w:val="24"/>
              </w:rPr>
            </w:pPr>
            <w:r>
              <w:rPr>
                <w:rFonts w:hint="eastAsia" w:ascii="Times New Roman" w:hAnsi="Times New Roman"/>
                <w:color w:val="000000"/>
                <w:sz w:val="24"/>
                <w:szCs w:val="24"/>
              </w:rPr>
              <w:t>达标</w:t>
            </w:r>
          </w:p>
        </w:tc>
      </w:tr>
    </w:tbl>
    <w:p>
      <w:pPr>
        <w:ind w:firstLine="560" w:firstLineChars="200"/>
        <w:rPr>
          <w:rStyle w:val="127"/>
        </w:rPr>
      </w:pPr>
      <w:r>
        <w:rPr>
          <w:rFonts w:hint="eastAsia"/>
          <w:bCs/>
          <w:szCs w:val="28"/>
        </w:rPr>
        <w:t>经监测得出</w:t>
      </w:r>
      <w:r>
        <w:rPr>
          <w:color w:val="auto"/>
          <w:szCs w:val="28"/>
        </w:rPr>
        <w:t>：</w:t>
      </w:r>
      <w:r>
        <w:rPr>
          <w:rFonts w:hint="eastAsia"/>
          <w:bCs/>
          <w:szCs w:val="22"/>
          <w:lang w:val="en-US" w:eastAsia="zh-CN"/>
        </w:rPr>
        <w:t>神泉污水处理装置</w:t>
      </w:r>
      <w:r>
        <w:rPr>
          <w:color w:val="auto"/>
          <w:szCs w:val="28"/>
        </w:rPr>
        <w:t>厂界噪声昼间</w:t>
      </w:r>
      <w:r>
        <w:rPr>
          <w:rFonts w:hint="eastAsia"/>
          <w:color w:val="auto"/>
          <w:szCs w:val="28"/>
        </w:rPr>
        <w:t>监测值</w:t>
      </w:r>
      <w:r>
        <w:rPr>
          <w:rFonts w:hint="eastAsia"/>
          <w:color w:val="auto"/>
          <w:szCs w:val="28"/>
          <w:lang w:eastAsia="zh-CN"/>
        </w:rPr>
        <w:t>、</w:t>
      </w:r>
      <w:r>
        <w:rPr>
          <w:rFonts w:hint="eastAsia"/>
          <w:color w:val="auto"/>
          <w:szCs w:val="28"/>
        </w:rPr>
        <w:t>夜</w:t>
      </w:r>
      <w:r>
        <w:rPr>
          <w:color w:val="auto"/>
          <w:szCs w:val="28"/>
        </w:rPr>
        <w:t>间</w:t>
      </w:r>
      <w:r>
        <w:rPr>
          <w:rFonts w:hint="eastAsia"/>
          <w:color w:val="auto"/>
          <w:szCs w:val="28"/>
        </w:rPr>
        <w:t>监测值</w:t>
      </w:r>
      <w:r>
        <w:rPr>
          <w:szCs w:val="28"/>
        </w:rPr>
        <w:t>均符合《工业企业厂界环境噪声排放标准》（GB12348－2008）中</w:t>
      </w:r>
      <w:r>
        <w:rPr>
          <w:rFonts w:hint="eastAsia"/>
          <w:szCs w:val="28"/>
        </w:rPr>
        <w:t>3</w:t>
      </w:r>
      <w:r>
        <w:rPr>
          <w:szCs w:val="28"/>
        </w:rPr>
        <w:t>类标准要求。</w:t>
      </w:r>
    </w:p>
    <w:p>
      <w:pPr>
        <w:rPr>
          <w:rStyle w:val="127"/>
        </w:rPr>
      </w:pPr>
      <w:r>
        <w:rPr>
          <w:rStyle w:val="127"/>
          <w:b/>
          <w:bCs/>
        </w:rPr>
        <w:br w:type="page"/>
      </w:r>
      <w:bookmarkStart w:id="349" w:name="_Toc240713415"/>
    </w:p>
    <w:p>
      <w:pPr>
        <w:pStyle w:val="2"/>
        <w:rPr>
          <w:rStyle w:val="127"/>
          <w:b/>
          <w:bCs/>
        </w:rPr>
      </w:pPr>
      <w:bookmarkStart w:id="350" w:name="_Toc771"/>
      <w:r>
        <w:rPr>
          <w:rStyle w:val="127"/>
          <w:rFonts w:hint="eastAsia"/>
          <w:b/>
          <w:bCs/>
          <w:lang w:val="en-US" w:eastAsia="zh-CN"/>
        </w:rPr>
        <w:t>八</w:t>
      </w:r>
      <w:r>
        <w:rPr>
          <w:rStyle w:val="127"/>
          <w:rFonts w:hint="eastAsia"/>
          <w:b/>
          <w:bCs/>
        </w:rPr>
        <w:t>、环境管理检查</w:t>
      </w:r>
      <w:bookmarkEnd w:id="350"/>
    </w:p>
    <w:p>
      <w:pPr>
        <w:pStyle w:val="3"/>
        <w:spacing w:line="600" w:lineRule="auto"/>
        <w:rPr>
          <w:sz w:val="32"/>
          <w:szCs w:val="32"/>
        </w:rPr>
      </w:pPr>
      <w:bookmarkStart w:id="351" w:name="_Toc17553"/>
      <w:r>
        <w:rPr>
          <w:rFonts w:hint="eastAsia"/>
          <w:sz w:val="32"/>
          <w:szCs w:val="32"/>
          <w:lang w:val="en-US" w:eastAsia="zh-CN"/>
        </w:rPr>
        <w:t>8</w:t>
      </w:r>
      <w:r>
        <w:rPr>
          <w:rFonts w:hint="eastAsia"/>
          <w:sz w:val="32"/>
          <w:szCs w:val="32"/>
        </w:rPr>
        <w:t>.</w:t>
      </w:r>
      <w:r>
        <w:rPr>
          <w:sz w:val="32"/>
          <w:szCs w:val="32"/>
        </w:rPr>
        <w:t>1 项目“三同时”执行情况</w:t>
      </w:r>
      <w:bookmarkEnd w:id="349"/>
      <w:bookmarkEnd w:id="351"/>
    </w:p>
    <w:p>
      <w:pPr>
        <w:ind w:firstLine="576" w:firstLineChars="200"/>
        <w:rPr>
          <w:color w:val="000000"/>
          <w:spacing w:val="-3"/>
        </w:rPr>
      </w:pPr>
      <w:bookmarkStart w:id="352" w:name="_Toc240713416"/>
      <w:r>
        <w:rPr>
          <w:color w:val="000000"/>
          <w:spacing w:val="4"/>
        </w:rPr>
        <w:t>201</w:t>
      </w:r>
      <w:r>
        <w:rPr>
          <w:rFonts w:hint="eastAsia"/>
          <w:color w:val="000000"/>
          <w:spacing w:val="4"/>
        </w:rPr>
        <w:t>6</w:t>
      </w:r>
      <w:r>
        <w:rPr>
          <w:color w:val="000000"/>
          <w:spacing w:val="4"/>
        </w:rPr>
        <w:t>年</w:t>
      </w:r>
      <w:r>
        <w:rPr>
          <w:rFonts w:hint="eastAsia"/>
          <w:color w:val="000000"/>
          <w:spacing w:val="4"/>
        </w:rPr>
        <w:t>7</w:t>
      </w:r>
      <w:r>
        <w:rPr>
          <w:color w:val="000000"/>
          <w:spacing w:val="4"/>
        </w:rPr>
        <w:t>月由</w:t>
      </w:r>
      <w:r>
        <w:rPr>
          <w:rFonts w:hint="eastAsia"/>
          <w:color w:val="000000"/>
          <w:spacing w:val="4"/>
          <w:lang w:val="zh-CN"/>
        </w:rPr>
        <w:t>新疆天地源环保科技发展有限公司</w:t>
      </w:r>
      <w:r>
        <w:rPr>
          <w:color w:val="000000"/>
          <w:spacing w:val="4"/>
        </w:rPr>
        <w:t>完成环境影响评价工作。201</w:t>
      </w:r>
      <w:r>
        <w:rPr>
          <w:rFonts w:hint="eastAsia"/>
          <w:color w:val="000000"/>
          <w:spacing w:val="4"/>
        </w:rPr>
        <w:t>6</w:t>
      </w:r>
      <w:r>
        <w:rPr>
          <w:color w:val="000000"/>
          <w:spacing w:val="4"/>
        </w:rPr>
        <w:t>年</w:t>
      </w:r>
      <w:r>
        <w:rPr>
          <w:rFonts w:hint="eastAsia"/>
          <w:color w:val="000000"/>
          <w:spacing w:val="4"/>
        </w:rPr>
        <w:t>11</w:t>
      </w:r>
      <w:r>
        <w:rPr>
          <w:color w:val="000000"/>
          <w:spacing w:val="4"/>
        </w:rPr>
        <w:t>月</w:t>
      </w:r>
      <w:r>
        <w:rPr>
          <w:rFonts w:hint="eastAsia"/>
          <w:color w:val="000000"/>
          <w:spacing w:val="4"/>
        </w:rPr>
        <w:t>22</w:t>
      </w:r>
      <w:r>
        <w:rPr>
          <w:color w:val="000000"/>
          <w:spacing w:val="4"/>
        </w:rPr>
        <w:t>日由</w:t>
      </w:r>
      <w:r>
        <w:rPr>
          <w:rFonts w:hint="eastAsia"/>
          <w:color w:val="000000"/>
          <w:spacing w:val="4"/>
        </w:rPr>
        <w:t>新</w:t>
      </w:r>
      <w:r>
        <w:rPr>
          <w:rFonts w:hint="eastAsia"/>
          <w:spacing w:val="4"/>
        </w:rPr>
        <w:t>疆维吾尔自治区环境保护厅</w:t>
      </w:r>
      <w:r>
        <w:rPr>
          <w:spacing w:val="4"/>
        </w:rPr>
        <w:t>以</w:t>
      </w:r>
      <w:r>
        <w:rPr>
          <w:rFonts w:hint="eastAsia"/>
          <w:spacing w:val="4"/>
        </w:rPr>
        <w:t>新环函</w:t>
      </w:r>
      <w:r>
        <w:rPr>
          <w:spacing w:val="4"/>
        </w:rPr>
        <w:t>[201</w:t>
      </w:r>
      <w:r>
        <w:rPr>
          <w:rFonts w:hint="eastAsia"/>
          <w:spacing w:val="4"/>
        </w:rPr>
        <w:t>6</w:t>
      </w:r>
      <w:r>
        <w:rPr>
          <w:spacing w:val="4"/>
        </w:rPr>
        <w:t>]</w:t>
      </w:r>
      <w:r>
        <w:rPr>
          <w:rFonts w:hint="eastAsia"/>
          <w:spacing w:val="4"/>
        </w:rPr>
        <w:t>1720</w:t>
      </w:r>
      <w:r>
        <w:rPr>
          <w:spacing w:val="4"/>
        </w:rPr>
        <w:t>号批复通过。</w:t>
      </w:r>
      <w:r>
        <w:rPr>
          <w:rFonts w:hint="eastAsia"/>
          <w:szCs w:val="28"/>
        </w:rPr>
        <w:t>该项目</w:t>
      </w:r>
      <w:r>
        <w:rPr>
          <w:szCs w:val="28"/>
        </w:rPr>
        <w:t>于</w:t>
      </w:r>
      <w:r>
        <w:rPr>
          <w:rFonts w:hint="eastAsia"/>
          <w:szCs w:val="28"/>
        </w:rPr>
        <w:t>2016</w:t>
      </w:r>
      <w:r>
        <w:rPr>
          <w:szCs w:val="28"/>
        </w:rPr>
        <w:t>年</w:t>
      </w:r>
      <w:r>
        <w:rPr>
          <w:rFonts w:hint="eastAsia"/>
          <w:szCs w:val="28"/>
        </w:rPr>
        <w:t>5</w:t>
      </w:r>
      <w:r>
        <w:rPr>
          <w:szCs w:val="28"/>
        </w:rPr>
        <w:t>月开工建设，201</w:t>
      </w:r>
      <w:r>
        <w:rPr>
          <w:rFonts w:hint="eastAsia"/>
          <w:szCs w:val="28"/>
        </w:rPr>
        <w:t>7</w:t>
      </w:r>
      <w:r>
        <w:rPr>
          <w:szCs w:val="28"/>
        </w:rPr>
        <w:t>年</w:t>
      </w:r>
      <w:r>
        <w:rPr>
          <w:rFonts w:hint="eastAsia"/>
          <w:szCs w:val="28"/>
        </w:rPr>
        <w:t>9</w:t>
      </w:r>
      <w:r>
        <w:rPr>
          <w:szCs w:val="28"/>
        </w:rPr>
        <w:t>月建成</w:t>
      </w:r>
      <w:r>
        <w:rPr>
          <w:rFonts w:hint="eastAsia"/>
          <w:szCs w:val="28"/>
        </w:rPr>
        <w:t>，生产线及配套设施均按环保“三</w:t>
      </w:r>
      <w:r>
        <w:rPr>
          <w:rFonts w:hint="eastAsia"/>
          <w:color w:val="000000"/>
          <w:szCs w:val="28"/>
        </w:rPr>
        <w:t>同时”要求配套建设环保设施，并</w:t>
      </w:r>
      <w:r>
        <w:rPr>
          <w:color w:val="000000"/>
          <w:szCs w:val="28"/>
        </w:rPr>
        <w:t>投入试生产。</w:t>
      </w:r>
    </w:p>
    <w:p>
      <w:pPr>
        <w:pStyle w:val="3"/>
        <w:spacing w:line="600" w:lineRule="auto"/>
        <w:rPr>
          <w:sz w:val="32"/>
          <w:szCs w:val="32"/>
        </w:rPr>
      </w:pPr>
      <w:bookmarkStart w:id="353" w:name="_Toc17174"/>
      <w:r>
        <w:rPr>
          <w:rFonts w:hint="eastAsia"/>
          <w:sz w:val="32"/>
          <w:szCs w:val="32"/>
          <w:lang w:val="en-US" w:eastAsia="zh-CN"/>
        </w:rPr>
        <w:t>8</w:t>
      </w:r>
      <w:r>
        <w:rPr>
          <w:rFonts w:hint="eastAsia"/>
          <w:sz w:val="32"/>
          <w:szCs w:val="32"/>
        </w:rPr>
        <w:t>.</w:t>
      </w:r>
      <w:r>
        <w:rPr>
          <w:sz w:val="32"/>
          <w:szCs w:val="32"/>
        </w:rPr>
        <w:t>2环境管理规章制度及环境管理机构设置情况</w:t>
      </w:r>
      <w:bookmarkEnd w:id="352"/>
      <w:bookmarkEnd w:id="353"/>
    </w:p>
    <w:p>
      <w:pPr>
        <w:rPr>
          <w:b/>
          <w:bCs/>
          <w:szCs w:val="28"/>
        </w:rPr>
      </w:pPr>
      <w:r>
        <w:rPr>
          <w:rFonts w:hint="eastAsia"/>
          <w:b/>
          <w:bCs/>
          <w:szCs w:val="28"/>
          <w:lang w:val="en-US" w:eastAsia="zh-CN"/>
        </w:rPr>
        <w:t>8</w:t>
      </w:r>
      <w:r>
        <w:rPr>
          <w:rFonts w:hint="eastAsia"/>
          <w:b/>
          <w:bCs/>
          <w:szCs w:val="28"/>
        </w:rPr>
        <w:t>.2.1环保组织机构</w:t>
      </w:r>
    </w:p>
    <w:p>
      <w:pPr>
        <w:ind w:firstLine="560" w:firstLineChars="200"/>
        <w:outlineLvl w:val="1"/>
        <w:rPr>
          <w:sz w:val="32"/>
          <w:szCs w:val="32"/>
        </w:rPr>
      </w:pPr>
      <w:bookmarkStart w:id="354" w:name="_Toc4593"/>
      <w:bookmarkStart w:id="355" w:name="_Toc15850"/>
      <w:bookmarkStart w:id="356" w:name="_Toc21073"/>
      <w:bookmarkStart w:id="357" w:name="_Toc20595"/>
      <w:bookmarkStart w:id="358" w:name="_Toc12389"/>
      <w:bookmarkStart w:id="359" w:name="_Toc22208"/>
      <w:r>
        <w:rPr>
          <w:rFonts w:hint="eastAsia" w:eastAsiaTheme="majorEastAsia"/>
          <w:szCs w:val="28"/>
        </w:rPr>
        <w:t>本项目严格实施HSE环境管理体系，中国石油天然气股份有限公司吐哈油田分公司设安全环保部，负责</w:t>
      </w:r>
      <w:r>
        <w:rPr>
          <w:rFonts w:hint="eastAsia" w:eastAsiaTheme="majorEastAsia"/>
          <w:szCs w:val="28"/>
          <w:lang w:eastAsia="zh-CN"/>
        </w:rPr>
        <w:t>吐鲁番采油管理区</w:t>
      </w:r>
      <w:r>
        <w:rPr>
          <w:rFonts w:hint="eastAsia" w:eastAsiaTheme="majorEastAsia"/>
          <w:szCs w:val="28"/>
        </w:rPr>
        <w:t>的环保工作，各生产单位设环保员，负责本生产单位的环保工作。</w:t>
      </w:r>
      <w:bookmarkEnd w:id="354"/>
      <w:bookmarkEnd w:id="355"/>
      <w:bookmarkEnd w:id="356"/>
      <w:bookmarkEnd w:id="357"/>
      <w:bookmarkEnd w:id="358"/>
      <w:bookmarkEnd w:id="359"/>
    </w:p>
    <w:p>
      <w:pPr>
        <w:outlineLvl w:val="2"/>
        <w:rPr>
          <w:b/>
          <w:bCs/>
        </w:rPr>
      </w:pPr>
      <w:bookmarkStart w:id="360" w:name="_Toc15146"/>
      <w:bookmarkStart w:id="361" w:name="_Toc11271"/>
      <w:bookmarkStart w:id="362" w:name="_Toc27255"/>
      <w:r>
        <w:rPr>
          <w:rFonts w:hint="eastAsia"/>
          <w:b/>
          <w:bCs/>
          <w:lang w:val="en-US" w:eastAsia="zh-CN"/>
        </w:rPr>
        <w:t>8</w:t>
      </w:r>
      <w:r>
        <w:rPr>
          <w:b/>
          <w:bCs/>
        </w:rPr>
        <w:t>.</w:t>
      </w:r>
      <w:r>
        <w:rPr>
          <w:rFonts w:hint="eastAsia"/>
          <w:b/>
          <w:bCs/>
        </w:rPr>
        <w:t>2</w:t>
      </w:r>
      <w:r>
        <w:rPr>
          <w:b/>
          <w:bCs/>
        </w:rPr>
        <w:t>.</w:t>
      </w:r>
      <w:r>
        <w:rPr>
          <w:rFonts w:hint="eastAsia"/>
          <w:b/>
          <w:bCs/>
        </w:rPr>
        <w:t>2</w:t>
      </w:r>
      <w:r>
        <w:rPr>
          <w:b/>
          <w:bCs/>
        </w:rPr>
        <w:t>环境管理规章制度</w:t>
      </w:r>
      <w:bookmarkEnd w:id="360"/>
      <w:bookmarkEnd w:id="361"/>
      <w:bookmarkEnd w:id="362"/>
    </w:p>
    <w:p>
      <w:pPr>
        <w:ind w:firstLine="560"/>
        <w:rPr>
          <w:rFonts w:eastAsiaTheme="majorEastAsia"/>
          <w:szCs w:val="28"/>
        </w:rPr>
      </w:pPr>
      <w:r>
        <w:rPr>
          <w:rFonts w:hint="eastAsia" w:eastAsiaTheme="majorEastAsia"/>
          <w:szCs w:val="28"/>
        </w:rPr>
        <w:t>为促进环境保护工作顺利开展，吐哈油田分公司</w:t>
      </w:r>
      <w:r>
        <w:rPr>
          <w:rFonts w:hint="eastAsia" w:eastAsiaTheme="majorEastAsia"/>
          <w:szCs w:val="28"/>
          <w:lang w:eastAsia="zh-CN"/>
        </w:rPr>
        <w:t>吐鲁番采油管理区</w:t>
      </w:r>
      <w:r>
        <w:rPr>
          <w:rFonts w:hint="eastAsia" w:eastAsiaTheme="majorEastAsia"/>
          <w:szCs w:val="28"/>
        </w:rPr>
        <w:t>制定了相应的环境管理规章制度，并在2016年编织成册，组织有关人员学习和贯彻执行，以确保环境管理工作的顺利进行。具体包括：</w:t>
      </w:r>
      <w:r>
        <w:rPr>
          <w:rFonts w:hint="eastAsia" w:eastAsiaTheme="majorEastAsia"/>
          <w:szCs w:val="28"/>
          <w:lang w:eastAsia="zh-CN"/>
        </w:rPr>
        <w:t>吐鲁番采油管理区</w:t>
      </w:r>
      <w:r>
        <w:rPr>
          <w:rFonts w:hint="eastAsia" w:eastAsiaTheme="majorEastAsia"/>
          <w:szCs w:val="28"/>
        </w:rPr>
        <w:t>环境保护管理规定、</w:t>
      </w:r>
      <w:r>
        <w:rPr>
          <w:rFonts w:hint="eastAsia" w:eastAsiaTheme="majorEastAsia"/>
          <w:szCs w:val="28"/>
          <w:lang w:eastAsia="zh-CN"/>
        </w:rPr>
        <w:t>吐鲁番采油管理区</w:t>
      </w:r>
      <w:r>
        <w:rPr>
          <w:rFonts w:hint="eastAsia" w:eastAsiaTheme="majorEastAsia"/>
          <w:szCs w:val="28"/>
        </w:rPr>
        <w:t>环境监测管理规定、</w:t>
      </w:r>
      <w:r>
        <w:rPr>
          <w:rFonts w:hint="eastAsia" w:eastAsiaTheme="majorEastAsia"/>
          <w:szCs w:val="28"/>
          <w:lang w:eastAsia="zh-CN"/>
        </w:rPr>
        <w:t>吐鲁番采油管理区</w:t>
      </w:r>
      <w:r>
        <w:rPr>
          <w:rFonts w:hint="eastAsia" w:eastAsiaTheme="majorEastAsia"/>
          <w:szCs w:val="28"/>
        </w:rPr>
        <w:t>环境污染与生态破坏事故管理规定、</w:t>
      </w:r>
      <w:r>
        <w:rPr>
          <w:rFonts w:hint="eastAsia" w:eastAsiaTheme="majorEastAsia"/>
          <w:szCs w:val="28"/>
          <w:lang w:eastAsia="zh-CN"/>
        </w:rPr>
        <w:t>吐鲁番采油管理区</w:t>
      </w:r>
      <w:r>
        <w:rPr>
          <w:rFonts w:hint="eastAsia" w:eastAsiaTheme="majorEastAsia"/>
          <w:szCs w:val="28"/>
        </w:rPr>
        <w:t>建设项目环境保护管理规定、</w:t>
      </w:r>
      <w:r>
        <w:rPr>
          <w:rFonts w:hint="eastAsia" w:eastAsiaTheme="majorEastAsia"/>
          <w:szCs w:val="28"/>
          <w:lang w:eastAsia="zh-CN"/>
        </w:rPr>
        <w:t>吐鲁番采油管理区</w:t>
      </w:r>
      <w:r>
        <w:rPr>
          <w:rFonts w:hint="eastAsia" w:eastAsiaTheme="majorEastAsia"/>
          <w:szCs w:val="28"/>
        </w:rPr>
        <w:t>干化池及废液池管理规定、</w:t>
      </w:r>
      <w:r>
        <w:rPr>
          <w:rFonts w:hint="eastAsia" w:eastAsiaTheme="majorEastAsia"/>
          <w:szCs w:val="28"/>
          <w:lang w:eastAsia="zh-CN"/>
        </w:rPr>
        <w:t>吐鲁番采油管理区</w:t>
      </w:r>
      <w:r>
        <w:rPr>
          <w:rFonts w:hint="eastAsia" w:eastAsiaTheme="majorEastAsia"/>
          <w:szCs w:val="28"/>
        </w:rPr>
        <w:t>废渣场管理办法、</w:t>
      </w:r>
      <w:r>
        <w:rPr>
          <w:rFonts w:hint="eastAsia" w:eastAsiaTheme="majorEastAsia"/>
          <w:szCs w:val="28"/>
          <w:lang w:eastAsia="zh-CN"/>
        </w:rPr>
        <w:t>吐鲁番采油管理区</w:t>
      </w:r>
      <w:r>
        <w:rPr>
          <w:rFonts w:hint="eastAsia" w:eastAsiaTheme="majorEastAsia"/>
          <w:szCs w:val="28"/>
        </w:rPr>
        <w:t>生产区域危险废物处置管理办法、中国石油天然气股份有限公司吐哈油田分公司环境保护管理办法、中国石油天然气股份有限公司吐哈油田分公司环境监测统计管理规定等。</w:t>
      </w:r>
      <w:bookmarkStart w:id="363" w:name="_Toc28981"/>
      <w:bookmarkStart w:id="364" w:name="_Toc240713418"/>
      <w:bookmarkStart w:id="365" w:name="_Toc127421277"/>
    </w:p>
    <w:p>
      <w:pPr>
        <w:rPr>
          <w:rFonts w:eastAsiaTheme="majorEastAsia"/>
          <w:b/>
          <w:bCs/>
          <w:szCs w:val="28"/>
        </w:rPr>
      </w:pPr>
      <w:r>
        <w:rPr>
          <w:rFonts w:hint="eastAsia" w:eastAsiaTheme="majorEastAsia"/>
          <w:b/>
          <w:bCs/>
          <w:szCs w:val="28"/>
          <w:lang w:val="en-US" w:eastAsia="zh-CN"/>
        </w:rPr>
        <w:t>8</w:t>
      </w:r>
      <w:r>
        <w:rPr>
          <w:rFonts w:hint="eastAsia" w:eastAsiaTheme="majorEastAsia"/>
          <w:b/>
          <w:bCs/>
          <w:szCs w:val="28"/>
        </w:rPr>
        <w:t>.2.3 环境管理措施</w:t>
      </w:r>
      <w:bookmarkEnd w:id="363"/>
    </w:p>
    <w:p>
      <w:pPr>
        <w:ind w:firstLine="560" w:firstLineChars="200"/>
        <w:rPr>
          <w:rFonts w:eastAsiaTheme="majorEastAsia"/>
          <w:szCs w:val="28"/>
        </w:rPr>
      </w:pPr>
      <w:r>
        <w:rPr>
          <w:rFonts w:hint="eastAsia" w:eastAsiaTheme="majorEastAsia"/>
          <w:szCs w:val="28"/>
        </w:rPr>
        <w:t>HSE管理体系的管理措施主要包括：</w:t>
      </w:r>
    </w:p>
    <w:p>
      <w:pPr>
        <w:numPr>
          <w:ilvl w:val="0"/>
          <w:numId w:val="4"/>
        </w:numPr>
        <w:ind w:firstLine="560" w:firstLineChars="200"/>
        <w:rPr>
          <w:rFonts w:eastAsiaTheme="majorEastAsia"/>
          <w:szCs w:val="28"/>
        </w:rPr>
      </w:pPr>
      <w:r>
        <w:rPr>
          <w:rFonts w:hint="eastAsia" w:eastAsiaTheme="majorEastAsia"/>
          <w:szCs w:val="28"/>
        </w:rPr>
        <w:t>最高领导层将HSE管理放在与企业生产和经营管理同等重要的位置上；</w:t>
      </w:r>
    </w:p>
    <w:p>
      <w:pPr>
        <w:numPr>
          <w:ilvl w:val="0"/>
          <w:numId w:val="4"/>
        </w:numPr>
        <w:ind w:firstLine="560" w:firstLineChars="200"/>
        <w:rPr>
          <w:rFonts w:eastAsiaTheme="majorEastAsia"/>
          <w:szCs w:val="28"/>
        </w:rPr>
      </w:pPr>
      <w:r>
        <w:rPr>
          <w:rFonts w:hint="eastAsia" w:eastAsiaTheme="majorEastAsia"/>
          <w:szCs w:val="28"/>
        </w:rPr>
        <w:t>公司员工时刻将HSE责任放在心中；</w:t>
      </w:r>
    </w:p>
    <w:p>
      <w:pPr>
        <w:numPr>
          <w:ilvl w:val="0"/>
          <w:numId w:val="4"/>
        </w:numPr>
        <w:ind w:firstLine="560" w:firstLineChars="200"/>
        <w:rPr>
          <w:rFonts w:eastAsiaTheme="majorEastAsia"/>
          <w:szCs w:val="28"/>
        </w:rPr>
      </w:pPr>
      <w:r>
        <w:rPr>
          <w:rFonts w:hint="eastAsia" w:eastAsiaTheme="majorEastAsia"/>
          <w:szCs w:val="28"/>
        </w:rPr>
        <w:t>制定和落实一岗一责制；</w:t>
      </w:r>
    </w:p>
    <w:p>
      <w:pPr>
        <w:numPr>
          <w:ilvl w:val="0"/>
          <w:numId w:val="4"/>
        </w:numPr>
        <w:ind w:firstLine="560" w:firstLineChars="200"/>
        <w:rPr>
          <w:rFonts w:eastAsiaTheme="majorEastAsia"/>
          <w:szCs w:val="28"/>
        </w:rPr>
      </w:pPr>
      <w:r>
        <w:rPr>
          <w:rFonts w:hint="eastAsia" w:eastAsiaTheme="majorEastAsia"/>
          <w:szCs w:val="28"/>
        </w:rPr>
        <w:t>加强生产技术及HSE教育和培训；</w:t>
      </w:r>
    </w:p>
    <w:p>
      <w:pPr>
        <w:numPr>
          <w:ilvl w:val="0"/>
          <w:numId w:val="4"/>
        </w:numPr>
        <w:ind w:firstLine="560" w:firstLineChars="200"/>
        <w:rPr>
          <w:rFonts w:eastAsiaTheme="majorEastAsia"/>
          <w:szCs w:val="28"/>
        </w:rPr>
      </w:pPr>
      <w:r>
        <w:rPr>
          <w:rFonts w:hint="eastAsia" w:eastAsiaTheme="majorEastAsia"/>
          <w:szCs w:val="28"/>
        </w:rPr>
        <w:t>做好现场审核和整改；</w:t>
      </w:r>
    </w:p>
    <w:p>
      <w:pPr>
        <w:numPr>
          <w:ilvl w:val="0"/>
          <w:numId w:val="4"/>
        </w:numPr>
        <w:ind w:firstLine="560" w:firstLineChars="200"/>
        <w:rPr>
          <w:rFonts w:eastAsiaTheme="majorEastAsia"/>
          <w:szCs w:val="28"/>
        </w:rPr>
      </w:pPr>
      <w:r>
        <w:rPr>
          <w:rFonts w:hint="eastAsia" w:eastAsiaTheme="majorEastAsia"/>
          <w:szCs w:val="28"/>
        </w:rPr>
        <w:t>奖优罚劣，持续改进HSE表现。</w:t>
      </w:r>
    </w:p>
    <w:p>
      <w:pPr>
        <w:ind w:firstLine="560" w:firstLineChars="200"/>
        <w:rPr>
          <w:rFonts w:eastAsiaTheme="majorEastAsia"/>
          <w:szCs w:val="28"/>
        </w:rPr>
      </w:pPr>
      <w:r>
        <w:rPr>
          <w:rFonts w:hint="eastAsia" w:eastAsiaTheme="majorEastAsia"/>
          <w:szCs w:val="28"/>
        </w:rPr>
        <w:t>为落实健康安全环境（以下简称HSE）责任制，有效防止和杜绝各类事故，确保</w:t>
      </w:r>
      <w:r>
        <w:rPr>
          <w:rFonts w:hint="eastAsia" w:eastAsiaTheme="majorEastAsia"/>
          <w:szCs w:val="28"/>
          <w:lang w:eastAsia="zh-CN"/>
        </w:rPr>
        <w:t>吐鲁番采油管理区</w:t>
      </w:r>
      <w:r>
        <w:rPr>
          <w:rFonts w:hint="eastAsia" w:eastAsiaTheme="majorEastAsia"/>
          <w:szCs w:val="28"/>
        </w:rPr>
        <w:t>（以下简称采油厂）HSE风险受控，根据《中国石油天然气股份有限公司吐哈油田分公司安全生产管理办法》和《中国石油天然气股份有限公司吐哈油田分公司健康安全环保监督检查与奖惩考核管理规定》，结合采油厂实际生产情况，2017.3.16，吐鲁番采油厂以吐哈油吐字〔2017〕20号印发《吐鲁番采油厂健康安全环保监督检查与奖惩考核管理规定》的通知。</w:t>
      </w:r>
      <w:bookmarkStart w:id="366" w:name="_Toc22116"/>
      <w:bookmarkStart w:id="367" w:name="_Toc21128"/>
      <w:bookmarkStart w:id="368" w:name="_Toc28533"/>
      <w:bookmarkStart w:id="369" w:name="_Toc16586"/>
      <w:bookmarkStart w:id="370" w:name="_Toc3227"/>
      <w:bookmarkStart w:id="371" w:name="_Toc8186"/>
      <w:bookmarkStart w:id="372" w:name="_Toc10719"/>
      <w:bookmarkStart w:id="373" w:name="_Toc4972"/>
      <w:bookmarkStart w:id="374" w:name="_Toc15207"/>
      <w:bookmarkStart w:id="375" w:name="_Toc31904"/>
    </w:p>
    <w:p>
      <w:pPr>
        <w:pStyle w:val="3"/>
        <w:spacing w:line="600" w:lineRule="auto"/>
        <w:rPr>
          <w:sz w:val="32"/>
          <w:szCs w:val="32"/>
        </w:rPr>
      </w:pPr>
      <w:bookmarkStart w:id="376" w:name="_Toc19749"/>
      <w:r>
        <w:rPr>
          <w:rFonts w:hint="eastAsia"/>
          <w:sz w:val="32"/>
          <w:szCs w:val="32"/>
          <w:lang w:val="en-US" w:eastAsia="zh-CN"/>
        </w:rPr>
        <w:t>8</w:t>
      </w:r>
      <w:r>
        <w:rPr>
          <w:rFonts w:hint="eastAsia"/>
          <w:sz w:val="32"/>
          <w:szCs w:val="32"/>
        </w:rPr>
        <w:t>.3 排污口规范化检查</w:t>
      </w:r>
      <w:bookmarkEnd w:id="366"/>
      <w:bookmarkEnd w:id="367"/>
      <w:bookmarkEnd w:id="368"/>
      <w:bookmarkEnd w:id="369"/>
      <w:bookmarkEnd w:id="370"/>
      <w:bookmarkEnd w:id="371"/>
      <w:bookmarkEnd w:id="372"/>
      <w:bookmarkEnd w:id="373"/>
      <w:bookmarkEnd w:id="374"/>
      <w:bookmarkEnd w:id="375"/>
      <w:bookmarkEnd w:id="376"/>
    </w:p>
    <w:p>
      <w:pPr>
        <w:ind w:firstLine="560" w:firstLineChars="200"/>
        <w:rPr>
          <w:color w:val="000000" w:themeColor="text1"/>
          <w14:textFill>
            <w14:solidFill>
              <w14:schemeClr w14:val="tx1"/>
            </w14:solidFill>
          </w14:textFill>
        </w:rPr>
      </w:pPr>
      <w:bookmarkStart w:id="377" w:name="_Toc27231"/>
      <w:bookmarkStart w:id="378" w:name="_Toc30474"/>
      <w:r>
        <w:rPr>
          <w:rFonts w:hint="eastAsia"/>
          <w:color w:val="000000" w:themeColor="text1"/>
          <w14:textFill>
            <w14:solidFill>
              <w14:schemeClr w14:val="tx1"/>
            </w14:solidFill>
          </w14:textFill>
        </w:rPr>
        <w:t>本项目废水设有专用采样平台及采样口，在采样口处设置污水计量装置。</w:t>
      </w:r>
    </w:p>
    <w:bookmarkEnd w:id="364"/>
    <w:bookmarkEnd w:id="365"/>
    <w:bookmarkEnd w:id="377"/>
    <w:bookmarkEnd w:id="378"/>
    <w:p>
      <w:pPr>
        <w:pStyle w:val="3"/>
        <w:spacing w:line="600" w:lineRule="auto"/>
        <w:rPr>
          <w:sz w:val="32"/>
          <w:szCs w:val="32"/>
        </w:rPr>
      </w:pPr>
      <w:bookmarkStart w:id="379" w:name="_Toc28108"/>
      <w:bookmarkStart w:id="380" w:name="_Toc127421279"/>
      <w:bookmarkStart w:id="381" w:name="_Toc240713420"/>
      <w:r>
        <w:rPr>
          <w:rFonts w:hint="eastAsia"/>
          <w:sz w:val="32"/>
          <w:szCs w:val="32"/>
          <w:lang w:val="en-US" w:eastAsia="zh-CN"/>
        </w:rPr>
        <w:t>8</w:t>
      </w:r>
      <w:r>
        <w:rPr>
          <w:rFonts w:hint="eastAsia"/>
          <w:sz w:val="32"/>
          <w:szCs w:val="32"/>
        </w:rPr>
        <w:t>.4事故风险调查</w:t>
      </w:r>
      <w:bookmarkEnd w:id="379"/>
    </w:p>
    <w:p>
      <w:pPr>
        <w:ind w:firstLine="560" w:firstLineChars="200"/>
      </w:pPr>
      <w:r>
        <w:rPr>
          <w:rFonts w:hint="eastAsia"/>
        </w:rPr>
        <w:t xml:space="preserve">根据调查，建设单位制订了《神泉污水处理项目突发环境事件应急预案》，并进行了备案登记（备案编号：6521002017057），严格按照应急预案的要求加强环境应急管理，定期组织培训和事故应急演练。 应急预案主要内容有：应急处理方法、应急计划区、应急组织机构及人员、应急状态分类及应急响应程序、应急救援保障、应急报警程序及通讯联络方式、应急环境监测与评估、人员紧急撤离及疏散计划、事故应急救援关闭程序与恢复措施、 应急计划培训、公众教育和信息等。 </w:t>
      </w:r>
    </w:p>
    <w:p>
      <w:pPr>
        <w:ind w:firstLine="560" w:firstLineChars="200"/>
      </w:pPr>
      <w:r>
        <w:rPr>
          <w:rFonts w:hint="eastAsia"/>
        </w:rPr>
        <w:t>事故风险应急措施主要包括：</w:t>
      </w:r>
    </w:p>
    <w:p>
      <w:pPr>
        <w:ind w:firstLine="560" w:firstLineChars="200"/>
      </w:pPr>
      <w:r>
        <w:rPr>
          <w:rFonts w:hint="eastAsia"/>
        </w:rPr>
        <w:t>（1）企业加强了环境管理检查，环保设施、设备运行，有维护、运行记录，定期进行维护保养，提高环保设备的安全使用率，并加强员工的生产安全教育。</w:t>
      </w:r>
    </w:p>
    <w:p>
      <w:pPr>
        <w:ind w:firstLine="560" w:firstLineChars="200"/>
      </w:pPr>
      <w:r>
        <w:rPr>
          <w:rFonts w:hint="eastAsia"/>
        </w:rPr>
        <w:t>（2）在厂区设置了明显的警示标志。</w:t>
      </w:r>
    </w:p>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380"/>
    <w:bookmarkEnd w:id="381"/>
    <w:p>
      <w:pPr>
        <w:pStyle w:val="3"/>
        <w:spacing w:line="600" w:lineRule="auto"/>
        <w:rPr>
          <w:color w:val="000000"/>
          <w:sz w:val="32"/>
          <w:szCs w:val="32"/>
        </w:rPr>
      </w:pPr>
      <w:bookmarkStart w:id="382" w:name="_Toc125120815"/>
      <w:bookmarkStart w:id="383" w:name="_Toc23719"/>
      <w:bookmarkStart w:id="384" w:name="_Toc28671"/>
      <w:bookmarkStart w:id="385" w:name="_Toc27192"/>
      <w:bookmarkStart w:id="386" w:name="_Toc346635746"/>
      <w:bookmarkStart w:id="387" w:name="_Toc11707"/>
      <w:bookmarkStart w:id="388" w:name="_Toc5881"/>
      <w:r>
        <w:rPr>
          <w:rFonts w:hint="eastAsia"/>
          <w:color w:val="000000"/>
          <w:sz w:val="32"/>
          <w:szCs w:val="32"/>
          <w:lang w:val="en-US" w:eastAsia="zh-CN"/>
        </w:rPr>
        <w:t>8</w:t>
      </w:r>
      <w:r>
        <w:rPr>
          <w:color w:val="000000"/>
          <w:sz w:val="32"/>
          <w:szCs w:val="32"/>
        </w:rPr>
        <w:t>.</w:t>
      </w:r>
      <w:r>
        <w:rPr>
          <w:rFonts w:hint="eastAsia"/>
          <w:color w:val="000000"/>
          <w:sz w:val="32"/>
          <w:szCs w:val="32"/>
          <w:lang w:val="en-US" w:eastAsia="zh-CN"/>
        </w:rPr>
        <w:t>5</w:t>
      </w:r>
      <w:r>
        <w:rPr>
          <w:color w:val="000000"/>
          <w:sz w:val="32"/>
          <w:szCs w:val="32"/>
        </w:rPr>
        <w:t>环评建议及批复意见落实情况</w:t>
      </w:r>
      <w:bookmarkEnd w:id="382"/>
      <w:bookmarkEnd w:id="383"/>
      <w:bookmarkEnd w:id="384"/>
      <w:bookmarkEnd w:id="385"/>
      <w:bookmarkEnd w:id="386"/>
      <w:bookmarkEnd w:id="387"/>
      <w:bookmarkEnd w:id="388"/>
    </w:p>
    <w:p>
      <w:pPr>
        <w:ind w:firstLine="560" w:firstLineChars="200"/>
        <w:rPr>
          <w:b/>
          <w:bCs/>
          <w:sz w:val="24"/>
          <w:szCs w:val="28"/>
        </w:rPr>
      </w:pPr>
      <w:r>
        <w:rPr>
          <w:color w:val="000000"/>
          <w:szCs w:val="28"/>
        </w:rPr>
        <w:t>根据环评建议及</w:t>
      </w:r>
      <w:r>
        <w:rPr>
          <w:rFonts w:hint="eastAsia"/>
          <w:color w:val="000000"/>
          <w:szCs w:val="28"/>
        </w:rPr>
        <w:t>新疆维吾尔自治区环境保护厅</w:t>
      </w:r>
      <w:r>
        <w:rPr>
          <w:color w:val="000000"/>
          <w:szCs w:val="28"/>
        </w:rPr>
        <w:t>对该项目的批复意见和要求，本次验收对项目的实际建设内容与环评及其批复要求的落实情况做了详细的检查和对照，环评建议及环保局批复意见和项目具体落实情况见表</w:t>
      </w:r>
      <w:r>
        <w:rPr>
          <w:rFonts w:hint="eastAsia"/>
          <w:color w:val="000000"/>
          <w:szCs w:val="28"/>
          <w:lang w:val="en-US" w:eastAsia="zh-CN"/>
        </w:rPr>
        <w:t>8</w:t>
      </w:r>
      <w:r>
        <w:rPr>
          <w:color w:val="000000"/>
          <w:szCs w:val="28"/>
        </w:rPr>
        <w:t>-</w:t>
      </w:r>
      <w:r>
        <w:rPr>
          <w:rFonts w:hint="eastAsia"/>
          <w:color w:val="000000"/>
          <w:szCs w:val="28"/>
        </w:rPr>
        <w:t>1</w:t>
      </w:r>
      <w:r>
        <w:rPr>
          <w:color w:val="000000"/>
          <w:szCs w:val="28"/>
        </w:rPr>
        <w:t>。</w:t>
      </w:r>
    </w:p>
    <w:p>
      <w:pPr>
        <w:ind w:firstLine="723" w:firstLineChars="300"/>
        <w:jc w:val="both"/>
        <w:rPr>
          <w:b/>
          <w:bCs/>
          <w:sz w:val="24"/>
          <w:szCs w:val="28"/>
        </w:rPr>
      </w:pPr>
      <w:r>
        <w:rPr>
          <w:b/>
          <w:bCs/>
          <w:sz w:val="24"/>
          <w:szCs w:val="28"/>
        </w:rPr>
        <w:br w:type="page"/>
      </w:r>
    </w:p>
    <w:p>
      <w:pPr>
        <w:ind w:firstLine="723" w:firstLineChars="300"/>
        <w:jc w:val="both"/>
        <w:rPr>
          <w:b/>
          <w:bCs/>
          <w:sz w:val="24"/>
          <w:szCs w:val="28"/>
        </w:rPr>
      </w:pPr>
      <w:r>
        <w:rPr>
          <w:b/>
          <w:bCs/>
          <w:sz w:val="24"/>
          <w:szCs w:val="28"/>
        </w:rPr>
        <w:t>表</w:t>
      </w:r>
      <w:r>
        <w:rPr>
          <w:rFonts w:hint="eastAsia"/>
          <w:b/>
          <w:bCs/>
          <w:sz w:val="24"/>
          <w:szCs w:val="28"/>
          <w:lang w:val="en-US" w:eastAsia="zh-CN"/>
        </w:rPr>
        <w:t>8</w:t>
      </w:r>
      <w:r>
        <w:rPr>
          <w:b/>
          <w:bCs/>
          <w:sz w:val="24"/>
          <w:szCs w:val="28"/>
        </w:rPr>
        <w:t>-</w:t>
      </w:r>
      <w:r>
        <w:rPr>
          <w:rFonts w:hint="eastAsia"/>
          <w:b/>
          <w:bCs/>
          <w:sz w:val="24"/>
          <w:szCs w:val="28"/>
        </w:rPr>
        <w:t>1</w:t>
      </w:r>
      <w:r>
        <w:rPr>
          <w:rFonts w:hint="eastAsia"/>
          <w:b/>
          <w:bCs/>
          <w:sz w:val="24"/>
          <w:szCs w:val="28"/>
          <w:lang w:val="en-US" w:eastAsia="zh-CN"/>
        </w:rPr>
        <w:t xml:space="preserve">            </w:t>
      </w:r>
      <w:r>
        <w:rPr>
          <w:b/>
          <w:bCs/>
          <w:sz w:val="24"/>
          <w:szCs w:val="28"/>
        </w:rPr>
        <w:t>环评建议及批复意见落实表</w:t>
      </w:r>
    </w:p>
    <w:tbl>
      <w:tblPr>
        <w:tblStyle w:val="40"/>
        <w:tblW w:w="85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4543"/>
        <w:gridCol w:w="3278"/>
      </w:tblGrid>
      <w:tr>
        <w:tblPrEx>
          <w:tblCellMar>
            <w:top w:w="0" w:type="dxa"/>
            <w:left w:w="108" w:type="dxa"/>
            <w:bottom w:w="0" w:type="dxa"/>
            <w:right w:w="108" w:type="dxa"/>
          </w:tblCellMar>
        </w:tblPrEx>
        <w:trPr>
          <w:trHeight w:val="454" w:hRule="atLeast"/>
          <w:jc w:val="center"/>
        </w:trPr>
        <w:tc>
          <w:tcPr>
            <w:tcW w:w="701" w:type="dxa"/>
            <w:vAlign w:val="center"/>
          </w:tcPr>
          <w:p>
            <w:pPr>
              <w:spacing w:line="240" w:lineRule="auto"/>
              <w:jc w:val="center"/>
              <w:rPr>
                <w:color w:val="000000"/>
                <w:sz w:val="24"/>
              </w:rPr>
            </w:pPr>
            <w:r>
              <w:rPr>
                <w:color w:val="000000"/>
                <w:sz w:val="24"/>
              </w:rPr>
              <w:t>序号</w:t>
            </w:r>
          </w:p>
        </w:tc>
        <w:tc>
          <w:tcPr>
            <w:tcW w:w="4543" w:type="dxa"/>
            <w:vAlign w:val="center"/>
          </w:tcPr>
          <w:p>
            <w:pPr>
              <w:spacing w:line="240" w:lineRule="auto"/>
              <w:jc w:val="center"/>
              <w:rPr>
                <w:color w:val="000000"/>
                <w:sz w:val="24"/>
              </w:rPr>
            </w:pPr>
            <w:r>
              <w:rPr>
                <w:color w:val="000000"/>
                <w:sz w:val="24"/>
              </w:rPr>
              <w:t>环评批复要求</w:t>
            </w:r>
          </w:p>
        </w:tc>
        <w:tc>
          <w:tcPr>
            <w:tcW w:w="3278" w:type="dxa"/>
            <w:vAlign w:val="center"/>
          </w:tcPr>
          <w:p>
            <w:pPr>
              <w:spacing w:line="240" w:lineRule="auto"/>
              <w:jc w:val="center"/>
              <w:rPr>
                <w:color w:val="000000"/>
                <w:sz w:val="24"/>
              </w:rPr>
            </w:pPr>
            <w:r>
              <w:rPr>
                <w:color w:val="000000"/>
                <w:sz w:val="24"/>
              </w:rPr>
              <w:t>实际调查结果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Align w:val="center"/>
          </w:tcPr>
          <w:p>
            <w:pPr>
              <w:spacing w:line="240" w:lineRule="auto"/>
              <w:jc w:val="center"/>
              <w:rPr>
                <w:color w:val="000000"/>
                <w:sz w:val="24"/>
              </w:rPr>
            </w:pPr>
            <w:r>
              <w:rPr>
                <w:rFonts w:hint="eastAsia"/>
                <w:color w:val="000000"/>
                <w:sz w:val="24"/>
              </w:rPr>
              <w:t>1</w:t>
            </w:r>
          </w:p>
        </w:tc>
        <w:tc>
          <w:tcPr>
            <w:tcW w:w="4543" w:type="dxa"/>
            <w:vAlign w:val="center"/>
          </w:tcPr>
          <w:p>
            <w:pPr>
              <w:spacing w:line="240" w:lineRule="auto"/>
              <w:ind w:firstLine="480" w:firstLineChars="200"/>
              <w:rPr>
                <w:color w:val="000000"/>
                <w:sz w:val="24"/>
              </w:rPr>
            </w:pPr>
            <w:r>
              <w:rPr>
                <w:rFonts w:hint="eastAsia"/>
                <w:color w:val="000000"/>
                <w:sz w:val="24"/>
              </w:rPr>
              <w:t>严格落实各项废气污染防治措施。采取池体上方设置顶盖，污泥脱水间设置通风设施并在车间内放置活性炭对恶臭进行吸附，污泥脱水后及时清运，定时清洗污泥脱水机等措施，确保污水处理系统厂界恶臭无组织排放符合《恶臭污染物排放标准》（GB14554-1993）中二级标准限值要求，非甲烷总烃无组织排放符合《大气污染物综合排放标准》（GB16297-1996）新污染源无组织排放监控浓度限制要求</w:t>
            </w:r>
          </w:p>
        </w:tc>
        <w:tc>
          <w:tcPr>
            <w:tcW w:w="3278" w:type="dxa"/>
            <w:vAlign w:val="center"/>
          </w:tcPr>
          <w:p>
            <w:pPr>
              <w:spacing w:line="240" w:lineRule="auto"/>
              <w:ind w:firstLine="480" w:firstLineChars="200"/>
              <w:rPr>
                <w:color w:val="000000"/>
                <w:sz w:val="24"/>
              </w:rPr>
            </w:pPr>
            <w:r>
              <w:rPr>
                <w:rFonts w:hint="eastAsia"/>
                <w:color w:val="000000"/>
                <w:sz w:val="24"/>
              </w:rPr>
              <w:t>采取池体上方设置顶盖，污泥脱水间设置通风设施</w:t>
            </w:r>
            <w:r>
              <w:rPr>
                <w:rFonts w:hint="eastAsia"/>
                <w:color w:val="000000"/>
                <w:sz w:val="24"/>
                <w:lang w:eastAsia="zh-CN"/>
              </w:rPr>
              <w:t>，</w:t>
            </w:r>
            <w:r>
              <w:rPr>
                <w:rFonts w:hint="eastAsia"/>
                <w:color w:val="000000"/>
                <w:sz w:val="24"/>
              </w:rPr>
              <w:t>污泥脱水后及时清运，定时清洗污泥脱水机等措施，</w:t>
            </w:r>
            <w:r>
              <w:rPr>
                <w:rFonts w:hint="eastAsia"/>
                <w:color w:val="000000"/>
                <w:sz w:val="24"/>
                <w:lang w:val="en-US" w:eastAsia="zh-CN"/>
              </w:rPr>
              <w:t>未</w:t>
            </w:r>
            <w:r>
              <w:rPr>
                <w:rFonts w:hint="eastAsia"/>
                <w:color w:val="000000"/>
                <w:sz w:val="24"/>
              </w:rPr>
              <w:t>在车间内放置活性炭</w:t>
            </w:r>
            <w:r>
              <w:rPr>
                <w:rFonts w:hint="eastAsia"/>
                <w:color w:val="000000"/>
                <w:sz w:val="24"/>
                <w:lang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Align w:val="center"/>
          </w:tcPr>
          <w:p>
            <w:pPr>
              <w:spacing w:line="240" w:lineRule="auto"/>
              <w:jc w:val="center"/>
              <w:rPr>
                <w:color w:val="000000"/>
                <w:sz w:val="24"/>
              </w:rPr>
            </w:pPr>
            <w:r>
              <w:rPr>
                <w:rFonts w:hint="eastAsia"/>
                <w:color w:val="000000"/>
                <w:sz w:val="24"/>
              </w:rPr>
              <w:t>2</w:t>
            </w:r>
          </w:p>
        </w:tc>
        <w:tc>
          <w:tcPr>
            <w:tcW w:w="4543" w:type="dxa"/>
            <w:vAlign w:val="center"/>
          </w:tcPr>
          <w:p>
            <w:pPr>
              <w:spacing w:line="240" w:lineRule="auto"/>
              <w:ind w:firstLine="480" w:firstLineChars="200"/>
              <w:rPr>
                <w:color w:val="000000"/>
                <w:sz w:val="24"/>
              </w:rPr>
            </w:pPr>
            <w:r>
              <w:rPr>
                <w:rFonts w:hint="eastAsia"/>
                <w:color w:val="000000" w:themeColor="text1"/>
                <w:sz w:val="24"/>
                <w14:textFill>
                  <w14:solidFill>
                    <w14:schemeClr w14:val="tx1"/>
                  </w14:solidFill>
                </w14:textFill>
              </w:rPr>
              <w:t>严格落实水污染防治措施，项目处理后的净化水全部用于井下注水，不向外环境排放。加强废水循环利用，减少污染物产生量；严格落实污水处理设施防渗措施；强化污水管道防护措施，定期对管道接口检查、维修，防</w:t>
            </w:r>
            <w:r>
              <w:rPr>
                <w:rFonts w:hint="eastAsia"/>
                <w:color w:val="000000"/>
                <w:sz w:val="24"/>
              </w:rPr>
              <w:t>止跑冒滴漏现象发生，危险废物（污泥、油泥等）储存设专用储存间，落实防风、防雨、防渗漏、防腐措施；安装污水计量装置。通过采取以上措施，避免对地下水环境（坎儿井）造成污染</w:t>
            </w:r>
          </w:p>
        </w:tc>
        <w:tc>
          <w:tcPr>
            <w:tcW w:w="3278" w:type="dxa"/>
            <w:vAlign w:val="center"/>
          </w:tcPr>
          <w:p>
            <w:pPr>
              <w:spacing w:line="240" w:lineRule="auto"/>
              <w:ind w:firstLine="480" w:firstLineChars="200"/>
              <w:rPr>
                <w:color w:val="000000"/>
                <w:sz w:val="24"/>
              </w:rPr>
            </w:pPr>
            <w:r>
              <w:rPr>
                <w:rFonts w:hint="eastAsia"/>
                <w:color w:val="000000"/>
                <w:sz w:val="24"/>
              </w:rPr>
              <w:t>项目处理后的净化水全部用于井下注水，不向外环境排放。污水处理设施进行了防渗处理；定期对管道接口检查、维修，无跑冒滴漏现象发生，危险废物储存设专用储存间，</w:t>
            </w:r>
            <w:r>
              <w:rPr>
                <w:rFonts w:hint="eastAsia"/>
                <w:sz w:val="24"/>
              </w:rPr>
              <w:t>进行了防风、防雨、防渗漏、防腐措施；污水处理站前后口安装了污水计量装置。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Align w:val="center"/>
          </w:tcPr>
          <w:p>
            <w:pPr>
              <w:spacing w:line="240" w:lineRule="auto"/>
              <w:jc w:val="center"/>
              <w:rPr>
                <w:color w:val="000000"/>
                <w:sz w:val="24"/>
              </w:rPr>
            </w:pPr>
            <w:r>
              <w:rPr>
                <w:rFonts w:hint="eastAsia"/>
                <w:color w:val="000000"/>
                <w:sz w:val="24"/>
              </w:rPr>
              <w:t>3</w:t>
            </w:r>
          </w:p>
        </w:tc>
        <w:tc>
          <w:tcPr>
            <w:tcW w:w="4543" w:type="dxa"/>
            <w:vAlign w:val="center"/>
          </w:tcPr>
          <w:p>
            <w:pPr>
              <w:spacing w:line="240" w:lineRule="auto"/>
              <w:ind w:firstLine="480" w:firstLineChars="200"/>
              <w:rPr>
                <w:color w:val="000000"/>
                <w:sz w:val="24"/>
              </w:rPr>
            </w:pPr>
            <w:r>
              <w:rPr>
                <w:rFonts w:hint="eastAsia"/>
                <w:color w:val="000000"/>
                <w:sz w:val="24"/>
              </w:rPr>
              <w:t>强化噪声污染防治措施。通过采取对机泵等设备加润滑油和减震垫等措施，确保厂界噪声满足《工业企业厂界环境噪声排放标准》(GB12348—2008)3类标准</w:t>
            </w:r>
          </w:p>
        </w:tc>
        <w:tc>
          <w:tcPr>
            <w:tcW w:w="3278" w:type="dxa"/>
            <w:vAlign w:val="center"/>
          </w:tcPr>
          <w:p>
            <w:pPr>
              <w:spacing w:line="240" w:lineRule="auto"/>
              <w:ind w:firstLine="480" w:firstLineChars="200"/>
              <w:rPr>
                <w:color w:val="000000"/>
                <w:sz w:val="24"/>
              </w:rPr>
            </w:pPr>
            <w:r>
              <w:rPr>
                <w:rFonts w:hint="eastAsia"/>
                <w:color w:val="000000"/>
                <w:sz w:val="24"/>
              </w:rPr>
              <w:t>通过采取对机泵等设备加润滑油和减震垫等措施，厂界噪声满足《工业企业厂界环境噪声排放标准》(GB12348—2008)3类标准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Align w:val="center"/>
          </w:tcPr>
          <w:p>
            <w:pPr>
              <w:spacing w:line="240" w:lineRule="auto"/>
              <w:jc w:val="center"/>
              <w:rPr>
                <w:color w:val="000000"/>
                <w:sz w:val="24"/>
              </w:rPr>
            </w:pPr>
            <w:r>
              <w:rPr>
                <w:rFonts w:hint="eastAsia"/>
                <w:color w:val="000000"/>
                <w:sz w:val="24"/>
              </w:rPr>
              <w:t>4</w:t>
            </w:r>
          </w:p>
        </w:tc>
        <w:tc>
          <w:tcPr>
            <w:tcW w:w="4543" w:type="dxa"/>
            <w:vAlign w:val="center"/>
          </w:tcPr>
          <w:p>
            <w:pPr>
              <w:spacing w:line="240" w:lineRule="auto"/>
              <w:ind w:firstLine="480" w:firstLineChars="200"/>
              <w:rPr>
                <w:color w:val="000000"/>
                <w:sz w:val="24"/>
              </w:rPr>
            </w:pPr>
            <w:r>
              <w:rPr>
                <w:rFonts w:hint="eastAsia"/>
                <w:color w:val="000000"/>
                <w:sz w:val="24"/>
              </w:rPr>
              <w:t>加强固体废物的分类管理。运营期污泥运至红莲、雁木西废渣场临时储存场贮存，含油污泥的收集、贮存，运输必须符合《危险废物贮存污染控制标准》(GB18597—2001)、《危险废物收集、贮存、运输技术规范》(HJ2025—2012)和《危险废物转移联单管理办法》要求。</w:t>
            </w:r>
          </w:p>
        </w:tc>
        <w:tc>
          <w:tcPr>
            <w:tcW w:w="3278" w:type="dxa"/>
            <w:vAlign w:val="center"/>
          </w:tcPr>
          <w:p>
            <w:pPr>
              <w:spacing w:line="240" w:lineRule="auto"/>
              <w:ind w:firstLine="480" w:firstLineChars="200"/>
              <w:rPr>
                <w:color w:val="000000"/>
                <w:sz w:val="24"/>
              </w:rPr>
            </w:pPr>
            <w:r>
              <w:rPr>
                <w:rFonts w:hint="eastAsia"/>
                <w:color w:val="000000"/>
                <w:sz w:val="24"/>
              </w:rPr>
              <w:t>运营期污泥运至红莲、雁木西废渣场贮存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Align w:val="center"/>
          </w:tcPr>
          <w:p>
            <w:pPr>
              <w:spacing w:line="240" w:lineRule="auto"/>
              <w:jc w:val="center"/>
              <w:rPr>
                <w:color w:val="000000"/>
                <w:sz w:val="24"/>
              </w:rPr>
            </w:pPr>
            <w:r>
              <w:rPr>
                <w:rFonts w:hint="eastAsia"/>
                <w:color w:val="000000"/>
                <w:sz w:val="24"/>
              </w:rPr>
              <w:t>5</w:t>
            </w:r>
          </w:p>
        </w:tc>
        <w:tc>
          <w:tcPr>
            <w:tcW w:w="4543" w:type="dxa"/>
            <w:vAlign w:val="center"/>
          </w:tcPr>
          <w:p>
            <w:pPr>
              <w:spacing w:line="240" w:lineRule="auto"/>
              <w:ind w:firstLine="480" w:firstLineChars="200"/>
              <w:rPr>
                <w:color w:val="000000"/>
                <w:sz w:val="24"/>
              </w:rPr>
            </w:pPr>
            <w:r>
              <w:rPr>
                <w:rFonts w:hint="eastAsia"/>
                <w:color w:val="000000"/>
                <w:sz w:val="24"/>
              </w:rPr>
              <w:t>加强项目环境风险防范，重点强化各池、等重点污染防治区防渗措施，按规范建设危险品储运设施，加强装卸区管理，确保不对项目区及下游土壤及地下水环境造成污染。制定事故状态下环境风险应急预案，建立与地方政府突发环境事故应急预案对接机制，形成联动具体实施方案，加强应急演练，落实污染防治措施，避免生产事故引发环境污染</w:t>
            </w:r>
          </w:p>
        </w:tc>
        <w:tc>
          <w:tcPr>
            <w:tcW w:w="3278" w:type="dxa"/>
            <w:vAlign w:val="center"/>
          </w:tcPr>
          <w:p>
            <w:pPr>
              <w:spacing w:line="240" w:lineRule="auto"/>
              <w:ind w:firstLine="480" w:firstLineChars="200"/>
              <w:rPr>
                <w:color w:val="000000"/>
                <w:sz w:val="24"/>
              </w:rPr>
            </w:pPr>
            <w:r>
              <w:rPr>
                <w:rFonts w:hint="eastAsia"/>
                <w:color w:val="000000"/>
                <w:sz w:val="24"/>
              </w:rPr>
              <w:t>项目各池等重点污染防治区进行了防渗措施，按规范建设危险品储运设施，制定事故状态下环境风险应急预案并进行了备案（见附件三），落实污染防治措施，避免生产事故引发环境污染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Align w:val="center"/>
          </w:tcPr>
          <w:p>
            <w:pPr>
              <w:spacing w:line="240" w:lineRule="auto"/>
              <w:jc w:val="center"/>
              <w:rPr>
                <w:color w:val="000000"/>
                <w:sz w:val="24"/>
              </w:rPr>
            </w:pPr>
            <w:r>
              <w:rPr>
                <w:rFonts w:hint="eastAsia"/>
                <w:color w:val="000000"/>
                <w:sz w:val="24"/>
              </w:rPr>
              <w:t>6</w:t>
            </w:r>
          </w:p>
        </w:tc>
        <w:tc>
          <w:tcPr>
            <w:tcW w:w="4543" w:type="dxa"/>
            <w:vAlign w:val="center"/>
          </w:tcPr>
          <w:p>
            <w:pPr>
              <w:spacing w:line="240" w:lineRule="auto"/>
              <w:ind w:firstLine="480" w:firstLineChars="200"/>
              <w:rPr>
                <w:color w:val="000000"/>
                <w:sz w:val="24"/>
              </w:rPr>
            </w:pPr>
            <w:r>
              <w:rPr>
                <w:rFonts w:hint="eastAsia"/>
                <w:color w:val="000000"/>
                <w:sz w:val="24"/>
              </w:rPr>
              <w:t>积极开展清洁生产审核，降低水耗、能耗，逐步提高企业清洁生产水平，从源头减少污染物产生</w:t>
            </w:r>
          </w:p>
        </w:tc>
        <w:tc>
          <w:tcPr>
            <w:tcW w:w="3278" w:type="dxa"/>
            <w:vAlign w:val="center"/>
          </w:tcPr>
          <w:p>
            <w:pPr>
              <w:spacing w:line="240" w:lineRule="auto"/>
              <w:ind w:firstLine="480" w:firstLineChars="200"/>
              <w:rPr>
                <w:color w:val="000000"/>
                <w:sz w:val="24"/>
              </w:rPr>
            </w:pPr>
            <w:r>
              <w:rPr>
                <w:rFonts w:hint="eastAsia"/>
                <w:color w:val="000000"/>
                <w:sz w:val="24"/>
              </w:rPr>
              <w:t>该项目前期进行清洁生产审核。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Align w:val="center"/>
          </w:tcPr>
          <w:p>
            <w:pPr>
              <w:spacing w:line="240" w:lineRule="auto"/>
              <w:jc w:val="center"/>
              <w:rPr>
                <w:color w:val="000000"/>
                <w:sz w:val="24"/>
              </w:rPr>
            </w:pPr>
            <w:r>
              <w:rPr>
                <w:rFonts w:hint="eastAsia"/>
                <w:color w:val="000000"/>
                <w:sz w:val="24"/>
              </w:rPr>
              <w:t>7</w:t>
            </w:r>
          </w:p>
        </w:tc>
        <w:tc>
          <w:tcPr>
            <w:tcW w:w="4543" w:type="dxa"/>
            <w:vAlign w:val="center"/>
          </w:tcPr>
          <w:p>
            <w:pPr>
              <w:spacing w:line="240" w:lineRule="auto"/>
              <w:ind w:firstLine="480" w:firstLineChars="200"/>
              <w:rPr>
                <w:color w:val="000000"/>
                <w:sz w:val="24"/>
              </w:rPr>
            </w:pPr>
            <w:r>
              <w:rPr>
                <w:rFonts w:hint="eastAsia"/>
                <w:color w:val="000000"/>
                <w:sz w:val="24"/>
              </w:rPr>
              <w:t>开展项目环境监理，在施工招标文件、施工合同和工程监理合同文件中明确环保条款和责任。建立专项档案，定期向当地环保部门报告</w:t>
            </w:r>
          </w:p>
        </w:tc>
        <w:tc>
          <w:tcPr>
            <w:tcW w:w="3278" w:type="dxa"/>
            <w:vAlign w:val="center"/>
          </w:tcPr>
          <w:p>
            <w:pPr>
              <w:spacing w:line="240" w:lineRule="auto"/>
              <w:ind w:firstLine="480" w:firstLineChars="200"/>
              <w:rPr>
                <w:color w:val="000000"/>
                <w:sz w:val="24"/>
              </w:rPr>
            </w:pPr>
            <w:r>
              <w:rPr>
                <w:rFonts w:hint="eastAsia"/>
                <w:sz w:val="24"/>
              </w:rPr>
              <w:t>项目开展了环境监理工作（见附件七）。</w:t>
            </w:r>
          </w:p>
        </w:tc>
      </w:tr>
      <w:bookmarkEnd w:id="9"/>
      <w:bookmarkEnd w:id="10"/>
      <w:bookmarkEnd w:id="11"/>
      <w:bookmarkEnd w:id="12"/>
      <w:bookmarkEnd w:id="288"/>
    </w:tbl>
    <w:p>
      <w:pPr>
        <w:pStyle w:val="2"/>
        <w:rPr>
          <w:rStyle w:val="127"/>
          <w:b/>
          <w:bCs/>
        </w:rPr>
      </w:pPr>
      <w:bookmarkStart w:id="389" w:name="_Toc22239"/>
      <w:bookmarkStart w:id="390" w:name="_Toc21861"/>
      <w:bookmarkStart w:id="391" w:name="_Toc6392"/>
      <w:bookmarkStart w:id="392" w:name="_Toc119570917"/>
      <w:bookmarkStart w:id="393" w:name="_Toc119727863"/>
      <w:bookmarkStart w:id="394" w:name="_Toc119484737"/>
      <w:bookmarkStart w:id="395" w:name="_Toc119720480"/>
      <w:bookmarkStart w:id="396" w:name="_Toc119485138"/>
      <w:r>
        <w:rPr>
          <w:rStyle w:val="127"/>
          <w:b/>
          <w:bCs/>
        </w:rPr>
        <w:br w:type="page"/>
      </w:r>
    </w:p>
    <w:p>
      <w:pPr>
        <w:pStyle w:val="2"/>
        <w:rPr>
          <w:rStyle w:val="127"/>
          <w:b/>
          <w:bCs/>
        </w:rPr>
      </w:pPr>
      <w:bookmarkStart w:id="397" w:name="_Toc22861"/>
      <w:r>
        <w:rPr>
          <w:rStyle w:val="127"/>
          <w:rFonts w:hint="eastAsia"/>
          <w:b/>
          <w:bCs/>
          <w:lang w:val="en-US" w:eastAsia="zh-CN"/>
        </w:rPr>
        <w:t>九</w:t>
      </w:r>
      <w:r>
        <w:rPr>
          <w:rStyle w:val="127"/>
          <w:rFonts w:hint="eastAsia"/>
          <w:b/>
          <w:bCs/>
        </w:rPr>
        <w:t>．</w:t>
      </w:r>
      <w:r>
        <w:rPr>
          <w:rStyle w:val="127"/>
          <w:b/>
          <w:bCs/>
        </w:rPr>
        <w:t>验收监测结论与建议</w:t>
      </w:r>
      <w:bookmarkEnd w:id="389"/>
      <w:bookmarkEnd w:id="390"/>
      <w:bookmarkEnd w:id="391"/>
      <w:bookmarkEnd w:id="397"/>
    </w:p>
    <w:p>
      <w:pPr>
        <w:pStyle w:val="3"/>
        <w:spacing w:line="600" w:lineRule="auto"/>
        <w:rPr>
          <w:sz w:val="32"/>
          <w:szCs w:val="32"/>
        </w:rPr>
      </w:pPr>
      <w:bookmarkStart w:id="398" w:name="_Toc1644"/>
      <w:bookmarkStart w:id="399" w:name="_Toc14471"/>
      <w:bookmarkStart w:id="400" w:name="_Toc257876269"/>
      <w:bookmarkStart w:id="401" w:name="_Toc7096"/>
      <w:bookmarkStart w:id="402" w:name="_Toc19031"/>
      <w:bookmarkStart w:id="403" w:name="_Toc243208582"/>
      <w:bookmarkStart w:id="404" w:name="_Toc15357"/>
      <w:bookmarkStart w:id="405" w:name="_Toc258506889"/>
      <w:bookmarkStart w:id="406" w:name="_Toc346635754"/>
      <w:r>
        <w:rPr>
          <w:rFonts w:hint="eastAsia"/>
          <w:sz w:val="32"/>
          <w:szCs w:val="32"/>
          <w:lang w:val="en-US" w:eastAsia="zh-CN"/>
        </w:rPr>
        <w:t>9</w:t>
      </w:r>
      <w:r>
        <w:rPr>
          <w:rFonts w:hint="eastAsia"/>
          <w:sz w:val="32"/>
          <w:szCs w:val="32"/>
        </w:rPr>
        <w:t>.1验收监测主要结论</w:t>
      </w:r>
      <w:bookmarkEnd w:id="398"/>
    </w:p>
    <w:p>
      <w:pPr>
        <w:pStyle w:val="3"/>
        <w:spacing w:line="600" w:lineRule="auto"/>
        <w:rPr>
          <w:sz w:val="28"/>
          <w:szCs w:val="28"/>
        </w:rPr>
      </w:pPr>
      <w:bookmarkStart w:id="407" w:name="_Toc15307"/>
      <w:r>
        <w:rPr>
          <w:rFonts w:hint="eastAsia"/>
          <w:sz w:val="28"/>
          <w:szCs w:val="28"/>
          <w:lang w:val="en-US" w:eastAsia="zh-CN"/>
        </w:rPr>
        <w:t>9</w:t>
      </w:r>
      <w:r>
        <w:rPr>
          <w:rFonts w:hint="eastAsia"/>
          <w:sz w:val="28"/>
          <w:szCs w:val="28"/>
        </w:rPr>
        <w:t>.1.1监测期间运行工况</w:t>
      </w:r>
      <w:bookmarkEnd w:id="407"/>
    </w:p>
    <w:p>
      <w:pPr>
        <w:ind w:firstLine="560" w:firstLineChars="200"/>
        <w:rPr>
          <w:rFonts w:hint="eastAsia"/>
          <w:color w:val="000000"/>
        </w:rPr>
      </w:pPr>
      <w:bookmarkStart w:id="408" w:name="_Toc12547"/>
      <w:bookmarkStart w:id="409" w:name="_Toc25641"/>
      <w:r>
        <w:rPr>
          <w:rFonts w:hint="eastAsia"/>
          <w:color w:val="000000"/>
        </w:rPr>
        <w:t>20</w:t>
      </w:r>
      <w:r>
        <w:rPr>
          <w:rFonts w:hint="eastAsia"/>
          <w:color w:val="000000"/>
          <w:lang w:val="en-US" w:eastAsia="zh-CN"/>
        </w:rPr>
        <w:t>22</w:t>
      </w:r>
      <w:r>
        <w:rPr>
          <w:rFonts w:hint="eastAsia"/>
          <w:color w:val="000000"/>
        </w:rPr>
        <w:t>年</w:t>
      </w:r>
      <w:r>
        <w:rPr>
          <w:rFonts w:hint="eastAsia"/>
          <w:color w:val="000000"/>
          <w:lang w:val="en-US" w:eastAsia="zh-CN"/>
        </w:rPr>
        <w:t>4</w:t>
      </w:r>
      <w:r>
        <w:rPr>
          <w:rFonts w:hint="eastAsia"/>
          <w:color w:val="000000"/>
        </w:rPr>
        <w:t>月</w:t>
      </w:r>
      <w:r>
        <w:rPr>
          <w:rFonts w:hint="eastAsia"/>
          <w:color w:val="000000"/>
          <w:lang w:val="en-US" w:eastAsia="zh-CN"/>
        </w:rPr>
        <w:t>12</w:t>
      </w:r>
      <w:r>
        <w:rPr>
          <w:rFonts w:hint="eastAsia"/>
          <w:color w:val="000000"/>
        </w:rPr>
        <w:t>日-20</w:t>
      </w:r>
      <w:r>
        <w:rPr>
          <w:rFonts w:hint="eastAsia"/>
          <w:color w:val="000000"/>
          <w:lang w:val="en-US" w:eastAsia="zh-CN"/>
        </w:rPr>
        <w:t>22</w:t>
      </w:r>
      <w:r>
        <w:rPr>
          <w:rFonts w:hint="eastAsia"/>
          <w:color w:val="000000"/>
        </w:rPr>
        <w:t>年</w:t>
      </w:r>
      <w:r>
        <w:rPr>
          <w:rFonts w:hint="eastAsia"/>
          <w:color w:val="000000"/>
          <w:lang w:val="en-US" w:eastAsia="zh-CN"/>
        </w:rPr>
        <w:t>4</w:t>
      </w:r>
      <w:r>
        <w:rPr>
          <w:rFonts w:hint="eastAsia"/>
          <w:color w:val="000000"/>
        </w:rPr>
        <w:t>月</w:t>
      </w:r>
      <w:r>
        <w:rPr>
          <w:rFonts w:hint="eastAsia"/>
          <w:color w:val="000000"/>
          <w:lang w:val="en-US" w:eastAsia="zh-CN"/>
        </w:rPr>
        <w:t>13</w:t>
      </w:r>
      <w:r>
        <w:rPr>
          <w:rFonts w:hint="eastAsia"/>
          <w:color w:val="000000"/>
        </w:rPr>
        <w:t>日，验收监测期间</w:t>
      </w:r>
      <w:r>
        <w:rPr>
          <w:rFonts w:hint="eastAsia"/>
          <w:color w:val="000000"/>
          <w:lang w:eastAsia="zh-CN"/>
        </w:rPr>
        <w:t>，</w:t>
      </w:r>
      <w:r>
        <w:rPr>
          <w:rFonts w:hint="eastAsia"/>
          <w:color w:val="000000"/>
          <w:lang w:val="en-US" w:eastAsia="zh-CN"/>
        </w:rPr>
        <w:t>生产</w:t>
      </w:r>
      <w:r>
        <w:rPr>
          <w:rFonts w:hint="eastAsia"/>
          <w:color w:val="000000"/>
        </w:rPr>
        <w:t>设备和环保设施均正常运行。</w:t>
      </w:r>
    </w:p>
    <w:p>
      <w:pPr>
        <w:tabs>
          <w:tab w:val="left" w:pos="3920"/>
        </w:tabs>
        <w:outlineLvl w:val="2"/>
        <w:rPr>
          <w:b/>
          <w:kern w:val="0"/>
          <w:szCs w:val="28"/>
        </w:rPr>
      </w:pPr>
      <w:r>
        <w:rPr>
          <w:rFonts w:hint="eastAsia"/>
          <w:b/>
          <w:kern w:val="0"/>
          <w:szCs w:val="28"/>
          <w:lang w:val="en-US" w:eastAsia="zh-CN"/>
        </w:rPr>
        <w:t>9</w:t>
      </w:r>
      <w:r>
        <w:rPr>
          <w:rFonts w:hint="eastAsia"/>
          <w:b/>
          <w:kern w:val="0"/>
          <w:szCs w:val="28"/>
        </w:rPr>
        <w:t>.1.</w:t>
      </w:r>
      <w:r>
        <w:rPr>
          <w:rFonts w:hint="eastAsia"/>
          <w:b/>
          <w:kern w:val="0"/>
          <w:szCs w:val="28"/>
          <w:lang w:val="en-US" w:eastAsia="zh-CN"/>
        </w:rPr>
        <w:t>2</w:t>
      </w:r>
      <w:r>
        <w:rPr>
          <w:rFonts w:hint="eastAsia"/>
          <w:b/>
          <w:kern w:val="0"/>
          <w:szCs w:val="28"/>
        </w:rPr>
        <w:t>噪声</w:t>
      </w:r>
      <w:bookmarkEnd w:id="408"/>
      <w:bookmarkEnd w:id="409"/>
    </w:p>
    <w:p>
      <w:pPr>
        <w:ind w:firstLine="560" w:firstLineChars="200"/>
        <w:rPr>
          <w:rStyle w:val="127"/>
        </w:rPr>
      </w:pPr>
      <w:bookmarkStart w:id="410" w:name="_Toc16835"/>
      <w:bookmarkStart w:id="411" w:name="_Toc23428"/>
      <w:r>
        <w:rPr>
          <w:rFonts w:hint="eastAsia"/>
          <w:bCs/>
          <w:szCs w:val="28"/>
        </w:rPr>
        <w:t>经监测得出</w:t>
      </w:r>
      <w:r>
        <w:rPr>
          <w:color w:val="auto"/>
          <w:szCs w:val="28"/>
        </w:rPr>
        <w:t>：</w:t>
      </w:r>
      <w:r>
        <w:rPr>
          <w:rFonts w:hint="eastAsia"/>
          <w:bCs/>
          <w:szCs w:val="22"/>
          <w:lang w:val="en-US" w:eastAsia="zh-CN"/>
        </w:rPr>
        <w:t>神泉污水处理装置</w:t>
      </w:r>
      <w:r>
        <w:rPr>
          <w:color w:val="auto"/>
          <w:szCs w:val="28"/>
        </w:rPr>
        <w:t>厂界噪声昼间</w:t>
      </w:r>
      <w:r>
        <w:rPr>
          <w:rFonts w:hint="eastAsia"/>
          <w:color w:val="auto"/>
          <w:szCs w:val="28"/>
        </w:rPr>
        <w:t>监测值</w:t>
      </w:r>
      <w:r>
        <w:rPr>
          <w:rFonts w:hint="eastAsia"/>
          <w:color w:val="auto"/>
          <w:szCs w:val="28"/>
          <w:lang w:eastAsia="zh-CN"/>
        </w:rPr>
        <w:t>、</w:t>
      </w:r>
      <w:r>
        <w:rPr>
          <w:rFonts w:hint="eastAsia"/>
          <w:color w:val="auto"/>
          <w:szCs w:val="28"/>
        </w:rPr>
        <w:t>夜</w:t>
      </w:r>
      <w:r>
        <w:rPr>
          <w:color w:val="auto"/>
          <w:szCs w:val="28"/>
        </w:rPr>
        <w:t>间</w:t>
      </w:r>
      <w:r>
        <w:rPr>
          <w:rFonts w:hint="eastAsia"/>
          <w:color w:val="auto"/>
          <w:szCs w:val="28"/>
        </w:rPr>
        <w:t>监测值</w:t>
      </w:r>
      <w:r>
        <w:rPr>
          <w:szCs w:val="28"/>
        </w:rPr>
        <w:t>均符合《工业企业厂界环境噪声排放标准》（GB12348－2008）中</w:t>
      </w:r>
      <w:r>
        <w:rPr>
          <w:rFonts w:hint="eastAsia"/>
          <w:szCs w:val="28"/>
        </w:rPr>
        <w:t>3</w:t>
      </w:r>
      <w:r>
        <w:rPr>
          <w:szCs w:val="28"/>
        </w:rPr>
        <w:t>类标准要求。</w:t>
      </w:r>
    </w:p>
    <w:p>
      <w:pPr>
        <w:tabs>
          <w:tab w:val="left" w:pos="3920"/>
        </w:tabs>
        <w:outlineLvl w:val="2"/>
        <w:rPr>
          <w:b/>
          <w:kern w:val="0"/>
          <w:szCs w:val="28"/>
        </w:rPr>
      </w:pPr>
      <w:r>
        <w:rPr>
          <w:rFonts w:hint="eastAsia"/>
          <w:b/>
          <w:kern w:val="0"/>
          <w:szCs w:val="28"/>
          <w:lang w:val="en-US" w:eastAsia="zh-CN"/>
        </w:rPr>
        <w:t>9</w:t>
      </w:r>
      <w:r>
        <w:rPr>
          <w:rFonts w:hint="eastAsia"/>
          <w:b/>
          <w:kern w:val="0"/>
          <w:szCs w:val="28"/>
        </w:rPr>
        <w:t>.1.</w:t>
      </w:r>
      <w:r>
        <w:rPr>
          <w:rFonts w:hint="eastAsia"/>
          <w:b/>
          <w:kern w:val="0"/>
          <w:szCs w:val="28"/>
          <w:lang w:val="en-US" w:eastAsia="zh-CN"/>
        </w:rPr>
        <w:t>3</w:t>
      </w:r>
      <w:r>
        <w:rPr>
          <w:rFonts w:hint="eastAsia"/>
          <w:b/>
          <w:kern w:val="0"/>
          <w:szCs w:val="28"/>
        </w:rPr>
        <w:t>固废</w:t>
      </w:r>
      <w:bookmarkEnd w:id="410"/>
      <w:bookmarkEnd w:id="411"/>
    </w:p>
    <w:p>
      <w:pPr>
        <w:ind w:firstLine="560" w:firstLineChars="200"/>
        <w:outlineLvl w:val="1"/>
        <w:rPr>
          <w:color w:val="000000"/>
        </w:rPr>
      </w:pPr>
      <w:bookmarkStart w:id="412" w:name="_Toc27555"/>
      <w:bookmarkStart w:id="413" w:name="_Toc1236"/>
      <w:bookmarkStart w:id="414" w:name="_Toc240713426"/>
      <w:bookmarkStart w:id="415" w:name="_Toc140327342"/>
      <w:r>
        <w:rPr>
          <w:rFonts w:hint="eastAsia"/>
          <w:color w:val="000000"/>
        </w:rPr>
        <w:t>1、污泥</w:t>
      </w:r>
      <w:bookmarkEnd w:id="412"/>
      <w:bookmarkEnd w:id="413"/>
    </w:p>
    <w:p>
      <w:pPr>
        <w:ind w:firstLine="560" w:firstLineChars="200"/>
        <w:outlineLvl w:val="1"/>
        <w:rPr>
          <w:color w:val="000000"/>
        </w:rPr>
      </w:pPr>
      <w:bookmarkStart w:id="416" w:name="_Toc14953"/>
      <w:bookmarkStart w:id="417" w:name="_Toc28298"/>
      <w:r>
        <w:rPr>
          <w:rFonts w:hint="eastAsia"/>
          <w:color w:val="000000"/>
        </w:rPr>
        <w:t>污水处理系统各单元处理设施均有污泥产生，通过在隔油池，调节池，生化池，沉淀池，缓冲水池等底部设积泥槽，安装多条排泥管，由污泥泵定期将池底污泥排至站外干化池，由污水处理站的人员定期清理后拉运至红连、雁木西废渣场进行暂存。全年污泥产生量为1</w:t>
      </w:r>
      <w:r>
        <w:rPr>
          <w:rFonts w:hint="eastAsia"/>
          <w:color w:val="000000"/>
          <w:lang w:val="en-US" w:eastAsia="zh-CN"/>
        </w:rPr>
        <w:t>0</w:t>
      </w:r>
      <w:r>
        <w:rPr>
          <w:rFonts w:hint="eastAsia"/>
          <w:color w:val="000000"/>
        </w:rPr>
        <w:t>0m</w:t>
      </w:r>
      <w:r>
        <w:rPr>
          <w:rFonts w:hint="eastAsia"/>
          <w:color w:val="000000"/>
          <w:vertAlign w:val="superscript"/>
        </w:rPr>
        <w:t>3</w:t>
      </w:r>
      <w:r>
        <w:rPr>
          <w:rFonts w:hint="eastAsia"/>
          <w:color w:val="000000"/>
        </w:rPr>
        <w:t>/a。</w:t>
      </w:r>
      <w:bookmarkEnd w:id="416"/>
      <w:bookmarkEnd w:id="417"/>
    </w:p>
    <w:p>
      <w:pPr>
        <w:ind w:firstLine="560" w:firstLineChars="200"/>
        <w:outlineLvl w:val="1"/>
        <w:rPr>
          <w:color w:val="000000"/>
        </w:rPr>
      </w:pPr>
      <w:bookmarkStart w:id="418" w:name="_Toc31153"/>
      <w:bookmarkStart w:id="419" w:name="_Toc12109"/>
      <w:r>
        <w:rPr>
          <w:rFonts w:hint="eastAsia"/>
          <w:color w:val="000000"/>
        </w:rPr>
        <w:t>2、</w:t>
      </w:r>
      <w:bookmarkEnd w:id="418"/>
      <w:bookmarkEnd w:id="419"/>
      <w:bookmarkStart w:id="420" w:name="_Toc26016"/>
      <w:bookmarkStart w:id="421" w:name="_Toc7256"/>
      <w:r>
        <w:rPr>
          <w:rFonts w:hint="eastAsia"/>
          <w:color w:val="000000"/>
        </w:rPr>
        <w:t>生活垃圾</w:t>
      </w:r>
      <w:bookmarkEnd w:id="420"/>
      <w:bookmarkEnd w:id="421"/>
    </w:p>
    <w:p>
      <w:pPr>
        <w:ind w:firstLine="592" w:firstLineChars="200"/>
        <w:rPr>
          <w:spacing w:val="8"/>
        </w:rPr>
      </w:pPr>
      <w:bookmarkStart w:id="422" w:name="_Toc24503"/>
      <w:r>
        <w:rPr>
          <w:rFonts w:hint="eastAsia"/>
          <w:spacing w:val="8"/>
        </w:rPr>
        <w:t>本项目技改后无新增工作人员，依托污水处理站原有工作人员，无额外生活垃圾产生。</w:t>
      </w:r>
    </w:p>
    <w:p>
      <w:pPr>
        <w:pStyle w:val="3"/>
        <w:spacing w:line="600" w:lineRule="auto"/>
        <w:rPr>
          <w:rFonts w:hint="eastAsia"/>
          <w:sz w:val="32"/>
          <w:szCs w:val="32"/>
        </w:rPr>
      </w:pPr>
      <w:r>
        <w:rPr>
          <w:rFonts w:hint="eastAsia"/>
          <w:sz w:val="32"/>
          <w:szCs w:val="32"/>
          <w:lang w:val="en-US" w:eastAsia="zh-CN"/>
        </w:rPr>
        <w:t>9</w:t>
      </w:r>
      <w:r>
        <w:rPr>
          <w:rFonts w:hint="eastAsia"/>
          <w:sz w:val="32"/>
          <w:szCs w:val="32"/>
        </w:rPr>
        <w:t>.2 环境管理检查</w:t>
      </w:r>
      <w:bookmarkEnd w:id="422"/>
    </w:p>
    <w:p>
      <w:pPr>
        <w:ind w:firstLine="560" w:firstLineChars="200"/>
        <w:outlineLvl w:val="1"/>
        <w:rPr>
          <w:color w:val="000000"/>
        </w:rPr>
      </w:pPr>
      <w:bookmarkStart w:id="423" w:name="_Toc21356"/>
      <w:r>
        <w:rPr>
          <w:rFonts w:hint="eastAsia"/>
          <w:color w:val="000000"/>
        </w:rPr>
        <w:t>中国石油吐哈油田神泉污水处理系统扩建项目在建设前后，根据《中华人民共和国环境保护法》和《建设项目环境保护管理办法》的要求进行了环境影响评价，履行了环保审批手续，有关档案齐全，环境保护设施和主体工程同时设计、同时施工、同时投入使用，环保投资及环保设施按照环评和初步设计要求实施，“三同时”制度执行情况较好。</w:t>
      </w:r>
      <w:bookmarkEnd w:id="423"/>
    </w:p>
    <w:p>
      <w:pPr>
        <w:spacing w:line="600" w:lineRule="auto"/>
        <w:outlineLvl w:val="1"/>
        <w:rPr>
          <w:b/>
          <w:bCs/>
          <w:color w:val="000000"/>
          <w:sz w:val="32"/>
          <w:szCs w:val="28"/>
        </w:rPr>
      </w:pPr>
      <w:bookmarkStart w:id="424" w:name="_Toc8609"/>
      <w:r>
        <w:rPr>
          <w:rFonts w:hint="eastAsia"/>
          <w:b/>
          <w:bCs/>
          <w:color w:val="000000"/>
          <w:sz w:val="32"/>
          <w:szCs w:val="28"/>
          <w:lang w:val="en-US" w:eastAsia="zh-CN"/>
        </w:rPr>
        <w:t>9</w:t>
      </w:r>
      <w:r>
        <w:rPr>
          <w:rFonts w:hint="eastAsia"/>
          <w:b/>
          <w:bCs/>
          <w:color w:val="000000"/>
          <w:sz w:val="32"/>
          <w:szCs w:val="28"/>
        </w:rPr>
        <w:t>.3 环境风险检查</w:t>
      </w:r>
      <w:bookmarkEnd w:id="424"/>
    </w:p>
    <w:p>
      <w:pPr>
        <w:ind w:firstLine="560" w:firstLineChars="200"/>
        <w:outlineLvl w:val="1"/>
        <w:rPr>
          <w:b/>
          <w:bCs/>
          <w:color w:val="000000"/>
          <w:sz w:val="32"/>
          <w:szCs w:val="28"/>
        </w:rPr>
      </w:pPr>
      <w:bookmarkStart w:id="425" w:name="_Toc4851"/>
      <w:r>
        <w:rPr>
          <w:rFonts w:hint="eastAsia"/>
          <w:color w:val="000000"/>
        </w:rPr>
        <w:t>本项目落实了环境影响评价制度和“三同时”制度，吐哈油田分公司</w:t>
      </w:r>
      <w:r>
        <w:rPr>
          <w:rFonts w:hint="eastAsia"/>
          <w:color w:val="000000"/>
          <w:lang w:eastAsia="zh-CN"/>
        </w:rPr>
        <w:t>吐鲁番采油管理区</w:t>
      </w:r>
      <w:r>
        <w:rPr>
          <w:rFonts w:hint="eastAsia"/>
          <w:color w:val="000000"/>
        </w:rPr>
        <w:t>制定了《吐哈油田分公司吐鲁番采油厂环境应急预案》。自项目运营以来，未发生环境风险事故。</w:t>
      </w:r>
      <w:bookmarkEnd w:id="425"/>
    </w:p>
    <w:p>
      <w:pPr>
        <w:spacing w:line="600" w:lineRule="auto"/>
        <w:outlineLvl w:val="1"/>
        <w:rPr>
          <w:b/>
          <w:bCs/>
          <w:color w:val="000000"/>
          <w:sz w:val="32"/>
          <w:szCs w:val="28"/>
        </w:rPr>
      </w:pPr>
      <w:bookmarkStart w:id="426" w:name="_Toc25436"/>
      <w:r>
        <w:rPr>
          <w:rFonts w:hint="eastAsia"/>
          <w:b/>
          <w:bCs/>
          <w:color w:val="000000"/>
          <w:sz w:val="32"/>
          <w:szCs w:val="28"/>
          <w:lang w:val="en-US" w:eastAsia="zh-CN"/>
        </w:rPr>
        <w:t>9</w:t>
      </w:r>
      <w:r>
        <w:rPr>
          <w:rFonts w:hint="eastAsia"/>
          <w:b/>
          <w:bCs/>
          <w:color w:val="000000"/>
          <w:sz w:val="32"/>
          <w:szCs w:val="28"/>
        </w:rPr>
        <w:t>.4 公众意见调查</w:t>
      </w:r>
      <w:bookmarkEnd w:id="426"/>
    </w:p>
    <w:p>
      <w:pPr>
        <w:widowControl/>
        <w:tabs>
          <w:tab w:val="left" w:pos="142"/>
        </w:tabs>
        <w:ind w:firstLine="567"/>
        <w:rPr>
          <w:color w:val="000000"/>
          <w:highlight w:val="none"/>
        </w:rPr>
      </w:pPr>
      <w:r>
        <w:rPr>
          <w:rFonts w:hint="eastAsia"/>
          <w:szCs w:val="28"/>
          <w:highlight w:val="none"/>
        </w:rPr>
        <w:t>本次调查共发放调查问卷</w:t>
      </w:r>
      <w:r>
        <w:rPr>
          <w:rFonts w:hint="eastAsia"/>
          <w:szCs w:val="28"/>
          <w:highlight w:val="none"/>
          <w:lang w:val="en-US" w:eastAsia="zh-CN"/>
        </w:rPr>
        <w:t>100</w:t>
      </w:r>
      <w:r>
        <w:rPr>
          <w:rFonts w:hint="eastAsia"/>
          <w:szCs w:val="28"/>
          <w:highlight w:val="none"/>
        </w:rPr>
        <w:t>份，回收有效问卷</w:t>
      </w:r>
      <w:r>
        <w:rPr>
          <w:rFonts w:hint="eastAsia"/>
          <w:szCs w:val="28"/>
          <w:highlight w:val="none"/>
          <w:lang w:val="en-US" w:eastAsia="zh-CN"/>
        </w:rPr>
        <w:t>100</w:t>
      </w:r>
      <w:r>
        <w:rPr>
          <w:rFonts w:hint="eastAsia"/>
          <w:szCs w:val="28"/>
          <w:highlight w:val="none"/>
        </w:rPr>
        <w:t>份，该公司本项目的环境保护工作满意程度为96%</w:t>
      </w:r>
      <w:r>
        <w:rPr>
          <w:rFonts w:hint="eastAsia"/>
          <w:highlight w:val="none"/>
        </w:rPr>
        <w:t>。</w:t>
      </w:r>
    </w:p>
    <w:p>
      <w:pPr>
        <w:spacing w:line="600" w:lineRule="auto"/>
        <w:outlineLvl w:val="1"/>
      </w:pPr>
      <w:bookmarkStart w:id="427" w:name="_Toc7283"/>
      <w:r>
        <w:rPr>
          <w:rFonts w:hint="eastAsia"/>
          <w:b/>
          <w:bCs/>
          <w:color w:val="000000"/>
          <w:sz w:val="32"/>
          <w:szCs w:val="28"/>
          <w:lang w:val="en-US" w:eastAsia="zh-CN"/>
        </w:rPr>
        <w:t>9</w:t>
      </w:r>
      <w:r>
        <w:rPr>
          <w:rFonts w:hint="eastAsia"/>
          <w:b/>
          <w:bCs/>
          <w:color w:val="000000"/>
          <w:sz w:val="32"/>
          <w:szCs w:val="28"/>
        </w:rPr>
        <w:t>.5 建议</w:t>
      </w:r>
      <w:bookmarkEnd w:id="414"/>
      <w:bookmarkEnd w:id="415"/>
      <w:bookmarkEnd w:id="427"/>
      <w:r>
        <w:rPr>
          <w:rFonts w:hint="eastAsia"/>
        </w:rPr>
        <w:t xml:space="preserve"> </w:t>
      </w:r>
    </w:p>
    <w:p>
      <w:pPr>
        <w:ind w:firstLine="560" w:firstLineChars="200"/>
      </w:pPr>
      <w:r>
        <w:rPr>
          <w:rFonts w:hint="eastAsia"/>
          <w:lang w:val="en-US" w:eastAsia="zh-CN"/>
        </w:rPr>
        <w:t>1</w:t>
      </w:r>
      <w:r>
        <w:rPr>
          <w:rFonts w:hint="eastAsia"/>
        </w:rPr>
        <w:t>. 进一步加强对环保设施的管理、维护和使用，确保环保设施长期稳定运行。</w:t>
      </w:r>
    </w:p>
    <w:p>
      <w:pPr>
        <w:ind w:firstLine="560" w:firstLineChars="200"/>
      </w:pPr>
      <w:r>
        <w:rPr>
          <w:rFonts w:hint="eastAsia"/>
          <w:lang w:val="en-US" w:eastAsia="zh-CN"/>
        </w:rPr>
        <w:t>2</w:t>
      </w:r>
      <w:r>
        <w:rPr>
          <w:rFonts w:hint="eastAsia"/>
        </w:rPr>
        <w:t>.定期进行清洁生产审核工作。</w:t>
      </w:r>
    </w:p>
    <w:bookmarkEnd w:id="392"/>
    <w:bookmarkEnd w:id="393"/>
    <w:bookmarkEnd w:id="394"/>
    <w:bookmarkEnd w:id="395"/>
    <w:bookmarkEnd w:id="396"/>
    <w:bookmarkEnd w:id="399"/>
    <w:bookmarkEnd w:id="400"/>
    <w:bookmarkEnd w:id="401"/>
    <w:bookmarkEnd w:id="402"/>
    <w:bookmarkEnd w:id="403"/>
    <w:bookmarkEnd w:id="404"/>
    <w:bookmarkEnd w:id="405"/>
    <w:bookmarkEnd w:id="406"/>
    <w:p>
      <w:pPr>
        <w:tabs>
          <w:tab w:val="center" w:pos="4153"/>
        </w:tabs>
        <w:jc w:val="left"/>
        <w:rPr>
          <w:rStyle w:val="127"/>
        </w:rPr>
      </w:pPr>
      <w:bookmarkStart w:id="428" w:name="_Toc25676"/>
      <w:bookmarkStart w:id="429" w:name="_Toc28909"/>
      <w:bookmarkStart w:id="430" w:name="_Toc22384"/>
    </w:p>
    <w:p>
      <w:pPr>
        <w:tabs>
          <w:tab w:val="center" w:pos="4153"/>
        </w:tabs>
        <w:jc w:val="left"/>
        <w:rPr>
          <w:rStyle w:val="127"/>
        </w:rPr>
      </w:pPr>
    </w:p>
    <w:p>
      <w:pPr>
        <w:tabs>
          <w:tab w:val="center" w:pos="4153"/>
        </w:tabs>
        <w:spacing w:line="600" w:lineRule="auto"/>
        <w:jc w:val="left"/>
        <w:outlineLvl w:val="0"/>
        <w:rPr>
          <w:sz w:val="32"/>
          <w:szCs w:val="32"/>
        </w:rPr>
      </w:pPr>
      <w:bookmarkStart w:id="431" w:name="_Toc27622"/>
      <w:r>
        <w:rPr>
          <w:rStyle w:val="127"/>
          <w:sz w:val="32"/>
          <w:szCs w:val="32"/>
        </w:rPr>
        <w:t>十、附件</w:t>
      </w:r>
      <w:bookmarkEnd w:id="428"/>
      <w:bookmarkEnd w:id="429"/>
      <w:bookmarkEnd w:id="430"/>
      <w:bookmarkEnd w:id="431"/>
    </w:p>
    <w:p>
      <w:pPr>
        <w:ind w:firstLine="560" w:firstLineChars="200"/>
        <w:rPr>
          <w:rFonts w:hAnsi="宋体" w:cs="宋体"/>
          <w:szCs w:val="28"/>
        </w:rPr>
      </w:pPr>
      <w:r>
        <w:rPr>
          <w:rFonts w:hint="eastAsia" w:hAnsi="宋体" w:cs="宋体"/>
          <w:szCs w:val="28"/>
        </w:rPr>
        <w:t>附件一：委托书；</w:t>
      </w:r>
    </w:p>
    <w:p>
      <w:pPr>
        <w:ind w:firstLine="560" w:firstLineChars="200"/>
        <w:jc w:val="left"/>
        <w:rPr>
          <w:rFonts w:hAnsi="宋体" w:cs="宋体"/>
          <w:szCs w:val="28"/>
        </w:rPr>
      </w:pPr>
      <w:r>
        <w:rPr>
          <w:rFonts w:hint="eastAsia" w:hAnsi="宋体" w:cs="宋体"/>
          <w:szCs w:val="28"/>
        </w:rPr>
        <w:t>附件二：关于《吐哈油田分公司吐鲁番采油厂神泉污水处理站工程》竣工环境保护验收组意见；</w:t>
      </w:r>
    </w:p>
    <w:p>
      <w:pPr>
        <w:ind w:firstLine="560" w:firstLineChars="200"/>
        <w:jc w:val="left"/>
        <w:rPr>
          <w:rFonts w:hAnsi="宋体" w:cs="宋体"/>
          <w:szCs w:val="28"/>
        </w:rPr>
      </w:pPr>
      <w:r>
        <w:rPr>
          <w:rFonts w:hint="eastAsia" w:hAnsi="宋体" w:cs="宋体"/>
          <w:szCs w:val="28"/>
        </w:rPr>
        <w:t>附件三：中国石油吐哈油田神泉污水处理系统扩建项目环境影响报告书的批复；</w:t>
      </w:r>
    </w:p>
    <w:p>
      <w:pPr>
        <w:ind w:firstLine="560" w:firstLineChars="200"/>
        <w:jc w:val="left"/>
        <w:rPr>
          <w:rFonts w:hAnsi="宋体" w:cs="宋体"/>
          <w:szCs w:val="28"/>
        </w:rPr>
      </w:pPr>
      <w:r>
        <w:rPr>
          <w:rFonts w:hint="eastAsia" w:hAnsi="宋体" w:cs="宋体"/>
          <w:szCs w:val="28"/>
        </w:rPr>
        <w:t>附件四：中国石油吐哈油田吐鲁番采油厂突发环境事件应急预案封皮；</w:t>
      </w:r>
    </w:p>
    <w:p>
      <w:pPr>
        <w:ind w:firstLine="560" w:firstLineChars="200"/>
        <w:rPr>
          <w:rFonts w:hAnsi="宋体" w:cs="宋体"/>
          <w:szCs w:val="28"/>
        </w:rPr>
      </w:pPr>
      <w:r>
        <w:rPr>
          <w:rFonts w:hint="eastAsia" w:hAnsi="宋体" w:cs="宋体"/>
          <w:szCs w:val="28"/>
        </w:rPr>
        <w:t>附件五：中国石油吐哈油田吐鲁番采油厂突发环境事件应急预案备案登记表；</w:t>
      </w:r>
    </w:p>
    <w:p>
      <w:pPr>
        <w:ind w:firstLine="560" w:firstLineChars="200"/>
        <w:rPr>
          <w:rFonts w:hAnsi="宋体" w:cs="宋体"/>
          <w:szCs w:val="28"/>
        </w:rPr>
      </w:pPr>
      <w:r>
        <w:rPr>
          <w:rFonts w:hint="eastAsia" w:hAnsi="宋体" w:cs="宋体"/>
          <w:szCs w:val="28"/>
        </w:rPr>
        <w:t>附件六：</w:t>
      </w:r>
      <w:r>
        <w:rPr>
          <w:rFonts w:hint="eastAsia"/>
        </w:rPr>
        <w:t>关于</w:t>
      </w:r>
      <w:r>
        <w:rPr>
          <w:rFonts w:hint="eastAsia" w:hAnsi="宋体" w:cs="宋体"/>
          <w:szCs w:val="28"/>
        </w:rPr>
        <w:t>中国石油吐哈油田吐鲁番采油厂</w:t>
      </w:r>
      <w:r>
        <w:rPr>
          <w:rFonts w:hint="eastAsia"/>
        </w:rPr>
        <w:t>清洁生产审核验收意见</w:t>
      </w:r>
      <w:r>
        <w:rPr>
          <w:rFonts w:hint="eastAsia" w:hAnsi="宋体" w:cs="宋体"/>
          <w:szCs w:val="28"/>
        </w:rPr>
        <w:t>；</w:t>
      </w:r>
    </w:p>
    <w:p>
      <w:pPr>
        <w:ind w:firstLine="560" w:firstLineChars="200"/>
        <w:rPr>
          <w:rFonts w:hAnsi="宋体" w:cs="宋体"/>
          <w:szCs w:val="28"/>
        </w:rPr>
      </w:pPr>
      <w:r>
        <w:rPr>
          <w:rFonts w:hint="eastAsia" w:hAnsi="宋体" w:cs="宋体"/>
          <w:szCs w:val="28"/>
        </w:rPr>
        <w:t>附件七：工程完工证书；</w:t>
      </w:r>
    </w:p>
    <w:p>
      <w:pPr>
        <w:ind w:firstLine="560" w:firstLineChars="200"/>
        <w:rPr>
          <w:rFonts w:hAnsi="宋体" w:cs="宋体"/>
          <w:szCs w:val="28"/>
        </w:rPr>
      </w:pPr>
      <w:r>
        <w:rPr>
          <w:rFonts w:hint="eastAsia" w:hAnsi="宋体" w:cs="宋体"/>
          <w:szCs w:val="28"/>
        </w:rPr>
        <w:t>附件八：环境监理资料（封皮）；</w:t>
      </w:r>
    </w:p>
    <w:p>
      <w:pPr>
        <w:ind w:firstLine="560" w:firstLineChars="200"/>
        <w:rPr>
          <w:rFonts w:hAnsi="宋体" w:cs="宋体"/>
          <w:szCs w:val="28"/>
        </w:rPr>
      </w:pPr>
      <w:r>
        <w:rPr>
          <w:rFonts w:hint="eastAsia" w:hAnsi="宋体" w:cs="宋体"/>
          <w:szCs w:val="28"/>
        </w:rPr>
        <w:t>附件九：流量计检定证书；</w:t>
      </w:r>
    </w:p>
    <w:p>
      <w:pPr>
        <w:ind w:firstLine="560" w:firstLineChars="200"/>
        <w:rPr>
          <w:rFonts w:hAnsi="宋体" w:cs="宋体"/>
          <w:szCs w:val="28"/>
        </w:rPr>
      </w:pPr>
      <w:r>
        <w:rPr>
          <w:rFonts w:hint="eastAsia" w:hAnsi="宋体" w:cs="宋体"/>
          <w:szCs w:val="28"/>
        </w:rPr>
        <w:t>附件十：雁木西渣场竣工验收函；</w:t>
      </w:r>
    </w:p>
    <w:p>
      <w:pPr>
        <w:ind w:firstLine="560" w:firstLineChars="200"/>
        <w:rPr>
          <w:rFonts w:hAnsi="宋体" w:cs="宋体"/>
          <w:szCs w:val="28"/>
        </w:rPr>
      </w:pPr>
      <w:r>
        <w:rPr>
          <w:rFonts w:hint="eastAsia" w:hAnsi="宋体" w:cs="宋体"/>
          <w:szCs w:val="28"/>
        </w:rPr>
        <w:t>附件十一：隐蔽工程检查；</w:t>
      </w:r>
    </w:p>
    <w:p>
      <w:pPr>
        <w:ind w:firstLine="560" w:firstLineChars="200"/>
        <w:rPr>
          <w:rFonts w:hAnsi="宋体" w:cs="宋体"/>
          <w:szCs w:val="28"/>
        </w:rPr>
      </w:pPr>
      <w:r>
        <w:rPr>
          <w:rFonts w:hint="eastAsia" w:hAnsi="宋体" w:cs="宋体"/>
          <w:szCs w:val="28"/>
        </w:rPr>
        <w:t>附件十二：注水水质监测报告；</w:t>
      </w:r>
    </w:p>
    <w:p>
      <w:pPr>
        <w:ind w:firstLine="560" w:firstLineChars="200"/>
        <w:rPr>
          <w:rFonts w:hAnsi="宋体" w:cs="宋体"/>
          <w:szCs w:val="28"/>
        </w:rPr>
      </w:pPr>
      <w:r>
        <w:rPr>
          <w:rFonts w:hint="eastAsia" w:hAnsi="宋体" w:cs="宋体"/>
          <w:szCs w:val="28"/>
        </w:rPr>
        <w:t>附件十三：监测报告；</w:t>
      </w:r>
    </w:p>
    <w:p>
      <w:pPr>
        <w:ind w:firstLine="560" w:firstLineChars="200"/>
        <w:rPr>
          <w:rFonts w:hAnsi="宋体" w:cs="宋体"/>
          <w:szCs w:val="28"/>
        </w:rPr>
      </w:pPr>
      <w:r>
        <w:rPr>
          <w:rFonts w:hint="eastAsia" w:hAnsi="宋体" w:cs="宋体"/>
          <w:szCs w:val="28"/>
        </w:rPr>
        <w:t>附件十四：三同时表；</w:t>
      </w:r>
    </w:p>
    <w:p>
      <w:pPr>
        <w:ind w:firstLine="560" w:firstLineChars="200"/>
        <w:rPr>
          <w:rFonts w:hAnsi="宋体" w:cs="宋体"/>
          <w:szCs w:val="28"/>
        </w:rPr>
      </w:pPr>
    </w:p>
    <w:p>
      <w:pPr>
        <w:jc w:val="left"/>
        <w:rPr>
          <w:rFonts w:hAnsi="宋体" w:cs="宋体"/>
          <w:szCs w:val="28"/>
        </w:rPr>
      </w:pPr>
      <w:r>
        <w:rPr>
          <w:rFonts w:hint="eastAsia" w:hAnsi="宋体" w:cs="宋体"/>
          <w:szCs w:val="28"/>
        </w:rPr>
        <w:t>附件一：委托书；</w:t>
      </w:r>
    </w:p>
    <w:p>
      <w:pPr>
        <w:jc w:val="left"/>
        <w:rPr>
          <w:rFonts w:hint="eastAsia" w:hAnsi="宋体" w:cs="宋体"/>
          <w:szCs w:val="28"/>
        </w:rPr>
      </w:pPr>
      <w:r>
        <w:rPr>
          <w:rFonts w:hint="eastAsia" w:hAnsi="宋体" w:cs="宋体"/>
          <w:szCs w:val="28"/>
        </w:rPr>
        <w:drawing>
          <wp:inline distT="0" distB="0" distL="114300" distR="114300">
            <wp:extent cx="5459095" cy="7907655"/>
            <wp:effectExtent l="0" t="0" r="8255" b="17145"/>
            <wp:docPr id="91" name="图片 91"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18"/>
                    <pic:cNvPicPr>
                      <a:picLocks noChangeAspect="1"/>
                    </pic:cNvPicPr>
                  </pic:nvPicPr>
                  <pic:blipFill>
                    <a:blip r:embed="rId35"/>
                    <a:stretch>
                      <a:fillRect/>
                    </a:stretch>
                  </pic:blipFill>
                  <pic:spPr>
                    <a:xfrm>
                      <a:off x="0" y="0"/>
                      <a:ext cx="5459095" cy="7907655"/>
                    </a:xfrm>
                    <a:prstGeom prst="rect">
                      <a:avLst/>
                    </a:prstGeom>
                  </pic:spPr>
                </pic:pic>
              </a:graphicData>
            </a:graphic>
          </wp:inline>
        </w:drawing>
      </w:r>
      <w:r>
        <w:rPr>
          <w:rFonts w:hint="eastAsia" w:hAnsi="宋体" w:cs="宋体"/>
          <w:szCs w:val="28"/>
        </w:rPr>
        <w:t>附件二：关于《吐哈油田分公司吐鲁番采油厂神泉污水处理站工程》竣工环境保护验收组意见；</w:t>
      </w:r>
      <w:r>
        <w:rPr>
          <w:rFonts w:hint="eastAsia" w:hAnsi="宋体" w:cs="宋体"/>
          <w:szCs w:val="28"/>
        </w:rPr>
        <w:drawing>
          <wp:inline distT="0" distB="0" distL="114300" distR="114300">
            <wp:extent cx="5273040" cy="7665085"/>
            <wp:effectExtent l="0" t="0" r="3810" b="12065"/>
            <wp:docPr id="18" name="图片 18" descr="神泉污水处理站竣工验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神泉污水处理站竣工验收1"/>
                    <pic:cNvPicPr>
                      <a:picLocks noChangeAspect="1"/>
                    </pic:cNvPicPr>
                  </pic:nvPicPr>
                  <pic:blipFill>
                    <a:blip r:embed="rId36"/>
                    <a:srcRect t="1793"/>
                    <a:stretch>
                      <a:fillRect/>
                    </a:stretch>
                  </pic:blipFill>
                  <pic:spPr>
                    <a:xfrm>
                      <a:off x="0" y="0"/>
                      <a:ext cx="5273040" cy="7665085"/>
                    </a:xfrm>
                    <a:prstGeom prst="rect">
                      <a:avLst/>
                    </a:prstGeom>
                  </pic:spPr>
                </pic:pic>
              </a:graphicData>
            </a:graphic>
          </wp:inline>
        </w:drawing>
      </w:r>
      <w:r>
        <w:rPr>
          <w:rFonts w:hint="eastAsia" w:hAnsi="宋体" w:cs="宋体"/>
          <w:szCs w:val="28"/>
        </w:rPr>
        <w:drawing>
          <wp:inline distT="0" distB="0" distL="114300" distR="114300">
            <wp:extent cx="5269230" cy="8185785"/>
            <wp:effectExtent l="0" t="0" r="7620" b="5715"/>
            <wp:docPr id="19" name="图片 19" descr="神泉污水处理站竣工验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神泉污水处理站竣工验收2"/>
                    <pic:cNvPicPr>
                      <a:picLocks noChangeAspect="1"/>
                    </pic:cNvPicPr>
                  </pic:nvPicPr>
                  <pic:blipFill>
                    <a:blip r:embed="rId37"/>
                    <a:stretch>
                      <a:fillRect/>
                    </a:stretch>
                  </pic:blipFill>
                  <pic:spPr>
                    <a:xfrm>
                      <a:off x="0" y="0"/>
                      <a:ext cx="5269230" cy="8185785"/>
                    </a:xfrm>
                    <a:prstGeom prst="rect">
                      <a:avLst/>
                    </a:prstGeom>
                  </pic:spPr>
                </pic:pic>
              </a:graphicData>
            </a:graphic>
          </wp:inline>
        </w:drawing>
      </w:r>
    </w:p>
    <w:p>
      <w:pPr>
        <w:jc w:val="left"/>
        <w:rPr>
          <w:rFonts w:hint="eastAsia" w:hAnsi="宋体" w:eastAsia="宋体" w:cs="宋体"/>
          <w:szCs w:val="28"/>
          <w:lang w:eastAsia="zh-CN"/>
        </w:rPr>
      </w:pPr>
      <w:r>
        <w:rPr>
          <w:rFonts w:hint="eastAsia" w:hAnsi="宋体" w:eastAsia="宋体" w:cs="宋体"/>
          <w:szCs w:val="28"/>
          <w:lang w:eastAsia="zh-CN"/>
        </w:rPr>
        <w:drawing>
          <wp:inline distT="0" distB="0" distL="114300" distR="114300">
            <wp:extent cx="5272405" cy="7512685"/>
            <wp:effectExtent l="0" t="0" r="4445" b="12065"/>
            <wp:docPr id="55" name="图片 55" descr="神泉污水改扩建环保竣工验收意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神泉污水改扩建环保竣工验收意见_00"/>
                    <pic:cNvPicPr>
                      <a:picLocks noChangeAspect="1"/>
                    </pic:cNvPicPr>
                  </pic:nvPicPr>
                  <pic:blipFill>
                    <a:blip r:embed="rId38"/>
                    <a:stretch>
                      <a:fillRect/>
                    </a:stretch>
                  </pic:blipFill>
                  <pic:spPr>
                    <a:xfrm>
                      <a:off x="0" y="0"/>
                      <a:ext cx="5272405" cy="7512685"/>
                    </a:xfrm>
                    <a:prstGeom prst="rect">
                      <a:avLst/>
                    </a:prstGeom>
                  </pic:spPr>
                </pic:pic>
              </a:graphicData>
            </a:graphic>
          </wp:inline>
        </w:drawing>
      </w:r>
      <w:r>
        <w:rPr>
          <w:rFonts w:hint="eastAsia" w:hAnsi="宋体" w:eastAsia="宋体" w:cs="宋体"/>
          <w:szCs w:val="28"/>
          <w:lang w:eastAsia="zh-CN"/>
        </w:rPr>
        <w:drawing>
          <wp:inline distT="0" distB="0" distL="114300" distR="114300">
            <wp:extent cx="5268595" cy="7553960"/>
            <wp:effectExtent l="0" t="0" r="8255" b="8890"/>
            <wp:docPr id="51" name="图片 51" descr="神泉污水改扩建环保竣工验收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神泉污水改扩建环保竣工验收意见_01"/>
                    <pic:cNvPicPr>
                      <a:picLocks noChangeAspect="1"/>
                    </pic:cNvPicPr>
                  </pic:nvPicPr>
                  <pic:blipFill>
                    <a:blip r:embed="rId39"/>
                    <a:stretch>
                      <a:fillRect/>
                    </a:stretch>
                  </pic:blipFill>
                  <pic:spPr>
                    <a:xfrm>
                      <a:off x="0" y="0"/>
                      <a:ext cx="5268595" cy="7553960"/>
                    </a:xfrm>
                    <a:prstGeom prst="rect">
                      <a:avLst/>
                    </a:prstGeom>
                  </pic:spPr>
                </pic:pic>
              </a:graphicData>
            </a:graphic>
          </wp:inline>
        </w:drawing>
      </w:r>
      <w:r>
        <w:rPr>
          <w:rFonts w:hint="eastAsia" w:hAnsi="宋体" w:eastAsia="宋体" w:cs="宋体"/>
          <w:szCs w:val="28"/>
          <w:lang w:eastAsia="zh-CN"/>
        </w:rPr>
        <w:drawing>
          <wp:inline distT="0" distB="0" distL="114300" distR="114300">
            <wp:extent cx="5268595" cy="7553960"/>
            <wp:effectExtent l="0" t="0" r="8255" b="8890"/>
            <wp:docPr id="50" name="图片 50" descr="神泉污水改扩建环保竣工验收意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神泉污水改扩建环保竣工验收意见_02"/>
                    <pic:cNvPicPr>
                      <a:picLocks noChangeAspect="1"/>
                    </pic:cNvPicPr>
                  </pic:nvPicPr>
                  <pic:blipFill>
                    <a:blip r:embed="rId40"/>
                    <a:stretch>
                      <a:fillRect/>
                    </a:stretch>
                  </pic:blipFill>
                  <pic:spPr>
                    <a:xfrm>
                      <a:off x="0" y="0"/>
                      <a:ext cx="5268595" cy="7553960"/>
                    </a:xfrm>
                    <a:prstGeom prst="rect">
                      <a:avLst/>
                    </a:prstGeom>
                  </pic:spPr>
                </pic:pic>
              </a:graphicData>
            </a:graphic>
          </wp:inline>
        </w:drawing>
      </w:r>
      <w:r>
        <w:rPr>
          <w:rFonts w:hint="eastAsia" w:hAnsi="宋体" w:eastAsia="宋体" w:cs="宋体"/>
          <w:szCs w:val="28"/>
          <w:lang w:eastAsia="zh-CN"/>
        </w:rPr>
        <w:drawing>
          <wp:inline distT="0" distB="0" distL="114300" distR="114300">
            <wp:extent cx="5274310" cy="7536815"/>
            <wp:effectExtent l="0" t="0" r="2540" b="6985"/>
            <wp:docPr id="49" name="图片 49" descr="神泉污水改扩建环保竣工验收意见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神泉污水改扩建环保竣工验收意见_03"/>
                    <pic:cNvPicPr>
                      <a:picLocks noChangeAspect="1"/>
                    </pic:cNvPicPr>
                  </pic:nvPicPr>
                  <pic:blipFill>
                    <a:blip r:embed="rId41"/>
                    <a:stretch>
                      <a:fillRect/>
                    </a:stretch>
                  </pic:blipFill>
                  <pic:spPr>
                    <a:xfrm>
                      <a:off x="0" y="0"/>
                      <a:ext cx="5274310" cy="7536815"/>
                    </a:xfrm>
                    <a:prstGeom prst="rect">
                      <a:avLst/>
                    </a:prstGeom>
                  </pic:spPr>
                </pic:pic>
              </a:graphicData>
            </a:graphic>
          </wp:inline>
        </w:drawing>
      </w:r>
      <w:r>
        <w:rPr>
          <w:rFonts w:hint="eastAsia" w:hAnsi="宋体" w:eastAsia="宋体" w:cs="宋体"/>
          <w:szCs w:val="28"/>
          <w:lang w:eastAsia="zh-CN"/>
        </w:rPr>
        <w:drawing>
          <wp:inline distT="0" distB="0" distL="114300" distR="114300">
            <wp:extent cx="5267960" cy="7536815"/>
            <wp:effectExtent l="0" t="0" r="8890" b="6985"/>
            <wp:docPr id="48" name="图片 48" descr="神泉污水改扩建环保竣工验收意见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神泉污水改扩建环保竣工验收意见_04"/>
                    <pic:cNvPicPr>
                      <a:picLocks noChangeAspect="1"/>
                    </pic:cNvPicPr>
                  </pic:nvPicPr>
                  <pic:blipFill>
                    <a:blip r:embed="rId42"/>
                    <a:stretch>
                      <a:fillRect/>
                    </a:stretch>
                  </pic:blipFill>
                  <pic:spPr>
                    <a:xfrm>
                      <a:off x="0" y="0"/>
                      <a:ext cx="5267960" cy="7536815"/>
                    </a:xfrm>
                    <a:prstGeom prst="rect">
                      <a:avLst/>
                    </a:prstGeom>
                  </pic:spPr>
                </pic:pic>
              </a:graphicData>
            </a:graphic>
          </wp:inline>
        </w:drawing>
      </w:r>
      <w:r>
        <w:rPr>
          <w:rFonts w:hint="eastAsia" w:hAnsi="宋体" w:eastAsia="宋体" w:cs="宋体"/>
          <w:szCs w:val="28"/>
          <w:lang w:eastAsia="zh-CN"/>
        </w:rPr>
        <w:drawing>
          <wp:inline distT="0" distB="0" distL="114300" distR="114300">
            <wp:extent cx="5268595" cy="7567295"/>
            <wp:effectExtent l="0" t="0" r="8255" b="14605"/>
            <wp:docPr id="47" name="图片 47" descr="神泉污水改扩建环保竣工验收意见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神泉污水改扩建环保竣工验收意见_05"/>
                    <pic:cNvPicPr>
                      <a:picLocks noChangeAspect="1"/>
                    </pic:cNvPicPr>
                  </pic:nvPicPr>
                  <pic:blipFill>
                    <a:blip r:embed="rId43"/>
                    <a:stretch>
                      <a:fillRect/>
                    </a:stretch>
                  </pic:blipFill>
                  <pic:spPr>
                    <a:xfrm>
                      <a:off x="0" y="0"/>
                      <a:ext cx="5268595" cy="7567295"/>
                    </a:xfrm>
                    <a:prstGeom prst="rect">
                      <a:avLst/>
                    </a:prstGeom>
                  </pic:spPr>
                </pic:pic>
              </a:graphicData>
            </a:graphic>
          </wp:inline>
        </w:drawing>
      </w:r>
    </w:p>
    <w:p>
      <w:pPr>
        <w:jc w:val="left"/>
        <w:rPr>
          <w:rFonts w:hint="eastAsia" w:hAnsi="宋体" w:cs="宋体"/>
          <w:szCs w:val="28"/>
        </w:rPr>
      </w:pPr>
    </w:p>
    <w:p>
      <w:pPr>
        <w:jc w:val="left"/>
        <w:rPr>
          <w:rFonts w:hint="eastAsia" w:hAnsi="宋体" w:cs="宋体"/>
          <w:szCs w:val="28"/>
        </w:rPr>
      </w:pPr>
    </w:p>
    <w:p>
      <w:pPr>
        <w:jc w:val="left"/>
        <w:rPr>
          <w:rFonts w:hAnsi="宋体" w:cs="宋体"/>
          <w:szCs w:val="28"/>
        </w:rPr>
      </w:pPr>
      <w:r>
        <w:rPr>
          <w:rFonts w:hint="eastAsia" w:hAnsi="宋体" w:cs="宋体"/>
          <w:szCs w:val="28"/>
        </w:rPr>
        <w:t>附件三：神泉污水处理系统扩建项目环境影响报告书的批复</w:t>
      </w:r>
      <w:r>
        <w:rPr>
          <w:rFonts w:hint="eastAsia" w:hAnsi="宋体" w:cs="宋体"/>
          <w:szCs w:val="28"/>
        </w:rPr>
        <w:drawing>
          <wp:inline distT="0" distB="0" distL="114300" distR="114300">
            <wp:extent cx="5437505" cy="7924165"/>
            <wp:effectExtent l="0" t="0" r="10795" b="635"/>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44">
                      <a:lum bright="18000"/>
                    </a:blip>
                    <a:stretch>
                      <a:fillRect/>
                    </a:stretch>
                  </pic:blipFill>
                  <pic:spPr>
                    <a:xfrm>
                      <a:off x="0" y="0"/>
                      <a:ext cx="5437505" cy="7924165"/>
                    </a:xfrm>
                    <a:prstGeom prst="rect">
                      <a:avLst/>
                    </a:prstGeom>
                    <a:noFill/>
                    <a:ln w="9525">
                      <a:noFill/>
                    </a:ln>
                  </pic:spPr>
                </pic:pic>
              </a:graphicData>
            </a:graphic>
          </wp:inline>
        </w:drawing>
      </w:r>
      <w:r>
        <w:rPr>
          <w:rFonts w:hint="eastAsia" w:hAnsi="宋体" w:cs="宋体"/>
          <w:szCs w:val="28"/>
        </w:rPr>
        <w:drawing>
          <wp:inline distT="0" distB="0" distL="114300" distR="114300">
            <wp:extent cx="5475605" cy="7799705"/>
            <wp:effectExtent l="0" t="0" r="10795" b="10795"/>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45">
                      <a:lum bright="18000"/>
                    </a:blip>
                    <a:stretch>
                      <a:fillRect/>
                    </a:stretch>
                  </pic:blipFill>
                  <pic:spPr>
                    <a:xfrm>
                      <a:off x="0" y="0"/>
                      <a:ext cx="5475605" cy="7799705"/>
                    </a:xfrm>
                    <a:prstGeom prst="rect">
                      <a:avLst/>
                    </a:prstGeom>
                    <a:noFill/>
                    <a:ln w="9525">
                      <a:noFill/>
                    </a:ln>
                  </pic:spPr>
                </pic:pic>
              </a:graphicData>
            </a:graphic>
          </wp:inline>
        </w:drawing>
      </w:r>
    </w:p>
    <w:p>
      <w:pPr>
        <w:rPr>
          <w:rFonts w:hAnsi="宋体" w:cs="宋体"/>
          <w:szCs w:val="28"/>
        </w:rPr>
      </w:pPr>
    </w:p>
    <w:p>
      <w:pPr>
        <w:rPr>
          <w:rFonts w:hAnsi="宋体" w:cs="宋体"/>
          <w:szCs w:val="28"/>
        </w:rPr>
      </w:pPr>
      <w:r>
        <w:rPr>
          <w:rFonts w:hint="eastAsia" w:hAnsi="宋体" w:cs="宋体"/>
          <w:szCs w:val="28"/>
        </w:rPr>
        <w:drawing>
          <wp:inline distT="0" distB="0" distL="114300" distR="114300">
            <wp:extent cx="5457190" cy="8164195"/>
            <wp:effectExtent l="0" t="0" r="10160" b="8255"/>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46">
                      <a:lum bright="18000"/>
                    </a:blip>
                    <a:stretch>
                      <a:fillRect/>
                    </a:stretch>
                  </pic:blipFill>
                  <pic:spPr>
                    <a:xfrm>
                      <a:off x="0" y="0"/>
                      <a:ext cx="5457190" cy="8164195"/>
                    </a:xfrm>
                    <a:prstGeom prst="rect">
                      <a:avLst/>
                    </a:prstGeom>
                    <a:noFill/>
                    <a:ln w="9525">
                      <a:noFill/>
                    </a:ln>
                  </pic:spPr>
                </pic:pic>
              </a:graphicData>
            </a:graphic>
          </wp:inline>
        </w:drawing>
      </w:r>
    </w:p>
    <w:p>
      <w:pPr>
        <w:rPr>
          <w:rFonts w:hAnsi="宋体" w:cs="宋体"/>
          <w:szCs w:val="28"/>
        </w:rPr>
      </w:pPr>
      <w:r>
        <w:rPr>
          <w:rFonts w:hint="eastAsia" w:hAnsi="宋体" w:cs="宋体"/>
          <w:szCs w:val="28"/>
        </w:rPr>
        <w:drawing>
          <wp:inline distT="0" distB="0" distL="114300" distR="114300">
            <wp:extent cx="5247640" cy="8314055"/>
            <wp:effectExtent l="0" t="0" r="10160" b="10795"/>
            <wp:docPr id="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pic:cNvPicPr>
                      <a:picLocks noChangeAspect="1"/>
                    </pic:cNvPicPr>
                  </pic:nvPicPr>
                  <pic:blipFill>
                    <a:blip r:embed="rId47">
                      <a:lum bright="18000"/>
                    </a:blip>
                    <a:stretch>
                      <a:fillRect/>
                    </a:stretch>
                  </pic:blipFill>
                  <pic:spPr>
                    <a:xfrm>
                      <a:off x="0" y="0"/>
                      <a:ext cx="5247640" cy="8314055"/>
                    </a:xfrm>
                    <a:prstGeom prst="rect">
                      <a:avLst/>
                    </a:prstGeom>
                    <a:noFill/>
                    <a:ln w="9525">
                      <a:noFill/>
                    </a:ln>
                  </pic:spPr>
                </pic:pic>
              </a:graphicData>
            </a:graphic>
          </wp:inline>
        </w:drawing>
      </w:r>
    </w:p>
    <w:p>
      <w:pPr>
        <w:jc w:val="left"/>
        <w:rPr>
          <w:rFonts w:hAnsi="宋体" w:cs="宋体"/>
          <w:szCs w:val="28"/>
        </w:rPr>
      </w:pPr>
      <w:r>
        <w:rPr>
          <w:rFonts w:hint="eastAsia" w:hAnsi="宋体" w:cs="宋体"/>
          <w:szCs w:val="28"/>
        </w:rPr>
        <w:t>附件</w:t>
      </w:r>
      <w:r>
        <w:rPr>
          <w:rFonts w:hint="eastAsia" w:hAnsi="宋体" w:cs="宋体"/>
          <w:szCs w:val="28"/>
          <w:lang w:val="en-US" w:eastAsia="zh-CN"/>
        </w:rPr>
        <w:t>四</w:t>
      </w:r>
      <w:r>
        <w:rPr>
          <w:rFonts w:hint="eastAsia" w:hAnsi="宋体" w:cs="宋体"/>
          <w:szCs w:val="28"/>
        </w:rPr>
        <w:t>：中国石油吐哈油田吐鲁番采油厂突发环境事件应急预案备案登记表；</w:t>
      </w:r>
    </w:p>
    <w:p>
      <w:pPr>
        <w:rPr>
          <w:rFonts w:hint="eastAsia" w:hAnsi="宋体" w:cs="宋体"/>
          <w:szCs w:val="28"/>
        </w:rPr>
      </w:pPr>
      <w:r>
        <w:rPr>
          <w:rFonts w:hint="eastAsia" w:hAnsi="宋体" w:cs="宋体"/>
          <w:szCs w:val="28"/>
        </w:rPr>
        <w:drawing>
          <wp:inline distT="0" distB="0" distL="114300" distR="114300">
            <wp:extent cx="5269865" cy="7250430"/>
            <wp:effectExtent l="0" t="0" r="6985" b="7620"/>
            <wp:docPr id="11" name="图片 11" descr="备案表（吐哈高昌区正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备案表（吐哈高昌区正面）_00"/>
                    <pic:cNvPicPr>
                      <a:picLocks noChangeAspect="1"/>
                    </pic:cNvPicPr>
                  </pic:nvPicPr>
                  <pic:blipFill>
                    <a:blip r:embed="rId48"/>
                    <a:stretch>
                      <a:fillRect/>
                    </a:stretch>
                  </pic:blipFill>
                  <pic:spPr>
                    <a:xfrm>
                      <a:off x="0" y="0"/>
                      <a:ext cx="5269865" cy="7250430"/>
                    </a:xfrm>
                    <a:prstGeom prst="rect">
                      <a:avLst/>
                    </a:prstGeom>
                  </pic:spPr>
                </pic:pic>
              </a:graphicData>
            </a:graphic>
          </wp:inline>
        </w:drawing>
      </w:r>
      <w:r>
        <w:rPr>
          <w:rFonts w:hint="eastAsia" w:hAnsi="宋体" w:cs="宋体"/>
          <w:szCs w:val="28"/>
        </w:rPr>
        <w:drawing>
          <wp:inline distT="0" distB="0" distL="114300" distR="114300">
            <wp:extent cx="5271135" cy="7453630"/>
            <wp:effectExtent l="0" t="0" r="5715" b="13970"/>
            <wp:docPr id="27" name="图片 27" descr="备案表（吐哈高昌区正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备案表（吐哈高昌区正面）_01"/>
                    <pic:cNvPicPr>
                      <a:picLocks noChangeAspect="1"/>
                    </pic:cNvPicPr>
                  </pic:nvPicPr>
                  <pic:blipFill>
                    <a:blip r:embed="rId49"/>
                    <a:stretch>
                      <a:fillRect/>
                    </a:stretch>
                  </pic:blipFill>
                  <pic:spPr>
                    <a:xfrm>
                      <a:off x="0" y="0"/>
                      <a:ext cx="5271135" cy="7453630"/>
                    </a:xfrm>
                    <a:prstGeom prst="rect">
                      <a:avLst/>
                    </a:prstGeom>
                  </pic:spPr>
                </pic:pic>
              </a:graphicData>
            </a:graphic>
          </wp:inline>
        </w:drawing>
      </w:r>
      <w:r>
        <w:rPr>
          <w:rFonts w:hint="eastAsia" w:hAnsi="宋体" w:cs="宋体"/>
          <w:szCs w:val="28"/>
        </w:rPr>
        <w:br w:type="page"/>
      </w:r>
    </w:p>
    <w:p>
      <w:pPr>
        <w:jc w:val="left"/>
        <w:rPr>
          <w:rFonts w:hAnsi="宋体" w:cs="宋体"/>
          <w:szCs w:val="28"/>
        </w:rPr>
      </w:pPr>
      <w:r>
        <w:rPr>
          <w:rFonts w:hint="eastAsia" w:hAnsi="宋体" w:cs="宋体"/>
          <w:szCs w:val="28"/>
        </w:rPr>
        <w:t>附件</w:t>
      </w:r>
      <w:r>
        <w:rPr>
          <w:rFonts w:hint="eastAsia" w:hAnsi="宋体" w:cs="宋体"/>
          <w:szCs w:val="28"/>
          <w:lang w:val="en-US" w:eastAsia="zh-CN"/>
        </w:rPr>
        <w:t>五</w:t>
      </w:r>
      <w:r>
        <w:rPr>
          <w:rFonts w:hint="eastAsia" w:hAnsi="宋体" w:cs="宋体"/>
          <w:szCs w:val="28"/>
        </w:rPr>
        <w:t>：关于中国石油吐哈油田吐鲁番采油厂清洁生产审核验收意见；</w:t>
      </w:r>
    </w:p>
    <w:p>
      <w:pPr>
        <w:jc w:val="both"/>
        <w:rPr>
          <w:rFonts w:hint="eastAsia" w:hAnsi="宋体" w:cs="宋体"/>
          <w:szCs w:val="28"/>
        </w:rPr>
      </w:pPr>
      <w:r>
        <w:rPr>
          <w:rFonts w:hint="eastAsia" w:hAnsi="宋体" w:cs="宋体"/>
          <w:szCs w:val="28"/>
        </w:rPr>
        <w:drawing>
          <wp:inline distT="0" distB="0" distL="114300" distR="114300">
            <wp:extent cx="5266055" cy="8050530"/>
            <wp:effectExtent l="0" t="0" r="10795" b="7620"/>
            <wp:docPr id="88" name="图片 88" descr="清洁生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清洁生产"/>
                    <pic:cNvPicPr>
                      <a:picLocks noChangeAspect="1"/>
                    </pic:cNvPicPr>
                  </pic:nvPicPr>
                  <pic:blipFill>
                    <a:blip r:embed="rId50">
                      <a:lum bright="6000"/>
                    </a:blip>
                    <a:stretch>
                      <a:fillRect/>
                    </a:stretch>
                  </pic:blipFill>
                  <pic:spPr>
                    <a:xfrm>
                      <a:off x="0" y="0"/>
                      <a:ext cx="5266055" cy="8050530"/>
                    </a:xfrm>
                    <a:prstGeom prst="rect">
                      <a:avLst/>
                    </a:prstGeom>
                  </pic:spPr>
                </pic:pic>
              </a:graphicData>
            </a:graphic>
          </wp:inline>
        </w:drawing>
      </w:r>
    </w:p>
    <w:p>
      <w:pPr>
        <w:jc w:val="both"/>
        <w:rPr>
          <w:rFonts w:hint="eastAsia" w:hAnsi="宋体" w:cs="宋体"/>
          <w:szCs w:val="28"/>
        </w:rPr>
      </w:pPr>
      <w:r>
        <w:rPr>
          <w:rFonts w:hint="eastAsia" w:hAnsi="宋体" w:cs="宋体"/>
          <w:szCs w:val="28"/>
        </w:rPr>
        <w:drawing>
          <wp:anchor distT="0" distB="0" distL="114300" distR="114300" simplePos="0" relativeHeight="251673600" behindDoc="1" locked="0" layoutInCell="1" allowOverlap="1">
            <wp:simplePos x="0" y="0"/>
            <wp:positionH relativeFrom="column">
              <wp:posOffset>-1504950</wp:posOffset>
            </wp:positionH>
            <wp:positionV relativeFrom="paragraph">
              <wp:posOffset>1548130</wp:posOffset>
            </wp:positionV>
            <wp:extent cx="8236585" cy="5116830"/>
            <wp:effectExtent l="0" t="0" r="7620" b="12065"/>
            <wp:wrapNone/>
            <wp:docPr id="89" name="图片 89" descr="清洁生产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清洁生产7"/>
                    <pic:cNvPicPr>
                      <a:picLocks noChangeAspect="1"/>
                    </pic:cNvPicPr>
                  </pic:nvPicPr>
                  <pic:blipFill>
                    <a:blip r:embed="rId51">
                      <a:lum bright="6000"/>
                    </a:blip>
                    <a:srcRect b="49383"/>
                    <a:stretch>
                      <a:fillRect/>
                    </a:stretch>
                  </pic:blipFill>
                  <pic:spPr>
                    <a:xfrm rot="16200000">
                      <a:off x="0" y="0"/>
                      <a:ext cx="8236585" cy="5116830"/>
                    </a:xfrm>
                    <a:prstGeom prst="rect">
                      <a:avLst/>
                    </a:prstGeom>
                  </pic:spPr>
                </pic:pic>
              </a:graphicData>
            </a:graphic>
          </wp:anchor>
        </w:drawing>
      </w: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r>
        <w:rPr>
          <w:rFonts w:hint="eastAsia" w:hAnsi="宋体" w:cs="宋体"/>
          <w:szCs w:val="28"/>
        </w:rPr>
        <w:drawing>
          <wp:anchor distT="0" distB="0" distL="114300" distR="114300" simplePos="0" relativeHeight="251672576" behindDoc="1" locked="0" layoutInCell="1" allowOverlap="1">
            <wp:simplePos x="0" y="0"/>
            <wp:positionH relativeFrom="column">
              <wp:posOffset>-1381125</wp:posOffset>
            </wp:positionH>
            <wp:positionV relativeFrom="paragraph">
              <wp:posOffset>1428750</wp:posOffset>
            </wp:positionV>
            <wp:extent cx="8123555" cy="5307330"/>
            <wp:effectExtent l="0" t="0" r="7620" b="10795"/>
            <wp:wrapNone/>
            <wp:docPr id="90" name="图片 90" descr="清洁生产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清洁生产7"/>
                    <pic:cNvPicPr>
                      <a:picLocks noChangeAspect="1"/>
                    </pic:cNvPicPr>
                  </pic:nvPicPr>
                  <pic:blipFill>
                    <a:blip r:embed="rId51">
                      <a:lum bright="6000"/>
                    </a:blip>
                    <a:srcRect t="49647"/>
                    <a:stretch>
                      <a:fillRect/>
                    </a:stretch>
                  </pic:blipFill>
                  <pic:spPr>
                    <a:xfrm rot="16200000">
                      <a:off x="0" y="0"/>
                      <a:ext cx="8123555" cy="5307330"/>
                    </a:xfrm>
                    <a:prstGeom prst="rect">
                      <a:avLst/>
                    </a:prstGeom>
                  </pic:spPr>
                </pic:pic>
              </a:graphicData>
            </a:graphic>
          </wp:anchor>
        </w:drawing>
      </w: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both"/>
        <w:rPr>
          <w:rFonts w:hint="eastAsia" w:hAnsi="宋体" w:cs="宋体"/>
          <w:szCs w:val="28"/>
        </w:rPr>
      </w:pPr>
    </w:p>
    <w:p>
      <w:pPr>
        <w:jc w:val="left"/>
        <w:rPr>
          <w:rFonts w:hAnsi="宋体" w:cs="宋体"/>
          <w:szCs w:val="28"/>
        </w:rPr>
      </w:pPr>
      <w:r>
        <w:rPr>
          <w:rFonts w:hint="eastAsia" w:hAnsi="宋体" w:cs="宋体"/>
          <w:szCs w:val="28"/>
        </w:rPr>
        <w:t>附件</w:t>
      </w:r>
      <w:r>
        <w:rPr>
          <w:rFonts w:hint="eastAsia" w:hAnsi="宋体" w:cs="宋体"/>
          <w:szCs w:val="28"/>
          <w:lang w:val="en-US" w:eastAsia="zh-CN"/>
        </w:rPr>
        <w:t>六</w:t>
      </w:r>
      <w:r>
        <w:rPr>
          <w:rFonts w:hint="eastAsia" w:hAnsi="宋体" w:cs="宋体"/>
          <w:szCs w:val="28"/>
        </w:rPr>
        <w:t>：工程完工证书；</w:t>
      </w:r>
      <w:r>
        <w:rPr>
          <w:rFonts w:hint="eastAsia" w:hAnsi="宋体" w:cs="宋体"/>
          <w:szCs w:val="28"/>
        </w:rPr>
        <w:drawing>
          <wp:inline distT="0" distB="0" distL="114300" distR="114300">
            <wp:extent cx="5271135" cy="7799070"/>
            <wp:effectExtent l="0" t="0" r="5715" b="11430"/>
            <wp:docPr id="35" name="图片 35" descr="完工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完工证书"/>
                    <pic:cNvPicPr>
                      <a:picLocks noChangeAspect="1"/>
                    </pic:cNvPicPr>
                  </pic:nvPicPr>
                  <pic:blipFill>
                    <a:blip r:embed="rId52"/>
                    <a:stretch>
                      <a:fillRect/>
                    </a:stretch>
                  </pic:blipFill>
                  <pic:spPr>
                    <a:xfrm>
                      <a:off x="0" y="0"/>
                      <a:ext cx="5271135" cy="7799070"/>
                    </a:xfrm>
                    <a:prstGeom prst="rect">
                      <a:avLst/>
                    </a:prstGeom>
                  </pic:spPr>
                </pic:pic>
              </a:graphicData>
            </a:graphic>
          </wp:inline>
        </w:drawing>
      </w:r>
      <w:r>
        <w:rPr>
          <w:rFonts w:hint="eastAsia" w:hAnsi="宋体" w:cs="宋体"/>
          <w:szCs w:val="28"/>
        </w:rPr>
        <w:t>附件</w:t>
      </w:r>
      <w:r>
        <w:rPr>
          <w:rFonts w:hint="eastAsia" w:hAnsi="宋体" w:cs="宋体"/>
          <w:szCs w:val="28"/>
          <w:lang w:val="en-US" w:eastAsia="zh-CN"/>
        </w:rPr>
        <w:t>七</w:t>
      </w:r>
      <w:r>
        <w:rPr>
          <w:rFonts w:hint="eastAsia" w:hAnsi="宋体" w:cs="宋体"/>
          <w:szCs w:val="28"/>
        </w:rPr>
        <w:t>：环境监理资料（封皮）；</w:t>
      </w:r>
    </w:p>
    <w:p>
      <w:pPr>
        <w:jc w:val="left"/>
        <w:rPr>
          <w:rFonts w:hAnsi="宋体" w:cs="宋体"/>
          <w:szCs w:val="28"/>
        </w:rPr>
      </w:pPr>
      <w:r>
        <w:rPr>
          <w:rFonts w:hint="eastAsia" w:hAnsi="宋体" w:cs="宋体"/>
          <w:szCs w:val="28"/>
        </w:rPr>
        <w:drawing>
          <wp:inline distT="0" distB="0" distL="114300" distR="114300">
            <wp:extent cx="5264150" cy="7968615"/>
            <wp:effectExtent l="0" t="0" r="12700" b="1333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3"/>
                    <a:stretch>
                      <a:fillRect/>
                    </a:stretch>
                  </pic:blipFill>
                  <pic:spPr>
                    <a:xfrm>
                      <a:off x="0" y="0"/>
                      <a:ext cx="5264150" cy="7968615"/>
                    </a:xfrm>
                    <a:prstGeom prst="rect">
                      <a:avLst/>
                    </a:prstGeom>
                    <a:noFill/>
                    <a:ln w="9525">
                      <a:noFill/>
                    </a:ln>
                  </pic:spPr>
                </pic:pic>
              </a:graphicData>
            </a:graphic>
          </wp:inline>
        </w:drawing>
      </w:r>
    </w:p>
    <w:p>
      <w:pPr>
        <w:rPr>
          <w:rFonts w:hAnsi="宋体" w:cs="宋体"/>
          <w:szCs w:val="28"/>
        </w:rPr>
      </w:pPr>
      <w:r>
        <w:rPr>
          <w:rFonts w:hint="eastAsia" w:hAnsi="宋体" w:cs="宋体"/>
          <w:szCs w:val="28"/>
        </w:rPr>
        <w:t>附件</w:t>
      </w:r>
      <w:r>
        <w:rPr>
          <w:rFonts w:hint="eastAsia" w:hAnsi="宋体" w:cs="宋体"/>
          <w:szCs w:val="28"/>
          <w:lang w:val="en-US" w:eastAsia="zh-CN"/>
        </w:rPr>
        <w:t>八</w:t>
      </w:r>
      <w:r>
        <w:rPr>
          <w:rFonts w:hint="eastAsia" w:hAnsi="宋体" w:cs="宋体"/>
          <w:szCs w:val="28"/>
        </w:rPr>
        <w:t>：流量计检定证书；</w:t>
      </w:r>
    </w:p>
    <w:p>
      <w:r>
        <w:drawing>
          <wp:inline distT="0" distB="0" distL="114300" distR="114300">
            <wp:extent cx="5150485" cy="7868920"/>
            <wp:effectExtent l="0" t="0" r="12065" b="1778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54"/>
                    <a:stretch>
                      <a:fillRect/>
                    </a:stretch>
                  </pic:blipFill>
                  <pic:spPr>
                    <a:xfrm>
                      <a:off x="0" y="0"/>
                      <a:ext cx="5150485" cy="7868920"/>
                    </a:xfrm>
                    <a:prstGeom prst="rect">
                      <a:avLst/>
                    </a:prstGeom>
                    <a:noFill/>
                    <a:ln w="9525">
                      <a:noFill/>
                    </a:ln>
                  </pic:spPr>
                </pic:pic>
              </a:graphicData>
            </a:graphic>
          </wp:inline>
        </w:drawing>
      </w:r>
    </w:p>
    <w:p>
      <w:pPr>
        <w:jc w:val="left"/>
        <w:rPr>
          <w:rFonts w:hAnsi="宋体" w:cs="宋体"/>
          <w:szCs w:val="28"/>
        </w:rPr>
      </w:pPr>
      <w:r>
        <w:rPr>
          <w:rFonts w:hint="eastAsia"/>
          <w:lang w:val="zh-CN"/>
        </w:rPr>
        <w:t>附件</w:t>
      </w:r>
      <w:r>
        <w:rPr>
          <w:rFonts w:hint="eastAsia"/>
          <w:lang w:val="en-US" w:eastAsia="zh-CN"/>
        </w:rPr>
        <w:t>九</w:t>
      </w:r>
      <w:r>
        <w:rPr>
          <w:rFonts w:hint="eastAsia"/>
          <w:lang w:val="zh-CN"/>
        </w:rPr>
        <w:t>：</w:t>
      </w:r>
      <w:r>
        <w:rPr>
          <w:rFonts w:hint="eastAsia"/>
        </w:rPr>
        <w:t>雁木西渣场竣工验收函；</w:t>
      </w:r>
      <w:r>
        <w:drawing>
          <wp:inline distT="0" distB="0" distL="114300" distR="114300">
            <wp:extent cx="5759450" cy="7918450"/>
            <wp:effectExtent l="0" t="0" r="12700" b="6350"/>
            <wp:docPr id="92" name="图片 6" descr="2015雁木西废渣场验收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descr="2015雁木西废渣场验收批复1"/>
                    <pic:cNvPicPr>
                      <a:picLocks noChangeAspect="1"/>
                    </pic:cNvPicPr>
                  </pic:nvPicPr>
                  <pic:blipFill>
                    <a:blip r:embed="rId55"/>
                    <a:stretch>
                      <a:fillRect/>
                    </a:stretch>
                  </pic:blipFill>
                  <pic:spPr>
                    <a:xfrm>
                      <a:off x="0" y="0"/>
                      <a:ext cx="5759450" cy="7918450"/>
                    </a:xfrm>
                    <a:prstGeom prst="rect">
                      <a:avLst/>
                    </a:prstGeom>
                    <a:noFill/>
                    <a:ln w="9525">
                      <a:noFill/>
                    </a:ln>
                  </pic:spPr>
                </pic:pic>
              </a:graphicData>
            </a:graphic>
          </wp:inline>
        </w:drawing>
      </w:r>
      <w:r>
        <w:drawing>
          <wp:inline distT="0" distB="0" distL="114300" distR="114300">
            <wp:extent cx="5759450" cy="8336915"/>
            <wp:effectExtent l="0" t="0" r="12700" b="6985"/>
            <wp:docPr id="93" name="图片 7" descr="2015雁木西废渣场验收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 descr="2015雁木西废渣场验收批复2"/>
                    <pic:cNvPicPr>
                      <a:picLocks noChangeAspect="1"/>
                    </pic:cNvPicPr>
                  </pic:nvPicPr>
                  <pic:blipFill>
                    <a:blip r:embed="rId56"/>
                    <a:stretch>
                      <a:fillRect/>
                    </a:stretch>
                  </pic:blipFill>
                  <pic:spPr>
                    <a:xfrm>
                      <a:off x="0" y="0"/>
                      <a:ext cx="5759450" cy="8336915"/>
                    </a:xfrm>
                    <a:prstGeom prst="rect">
                      <a:avLst/>
                    </a:prstGeom>
                    <a:noFill/>
                    <a:ln w="9525">
                      <a:noFill/>
                    </a:ln>
                  </pic:spPr>
                </pic:pic>
              </a:graphicData>
            </a:graphic>
          </wp:inline>
        </w:drawing>
      </w:r>
    </w:p>
    <w:p>
      <w:r>
        <w:rPr>
          <w:rFonts w:hint="eastAsia"/>
        </w:rPr>
        <w:t>附件十：隐蔽工程检查；</w:t>
      </w:r>
    </w:p>
    <w:p>
      <w:r>
        <w:drawing>
          <wp:inline distT="0" distB="0" distL="114300" distR="114300">
            <wp:extent cx="5269865" cy="6779895"/>
            <wp:effectExtent l="0" t="0" r="6985" b="190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57"/>
                    <a:stretch>
                      <a:fillRect/>
                    </a:stretch>
                  </pic:blipFill>
                  <pic:spPr>
                    <a:xfrm>
                      <a:off x="0" y="0"/>
                      <a:ext cx="5269865" cy="6779895"/>
                    </a:xfrm>
                    <a:prstGeom prst="rect">
                      <a:avLst/>
                    </a:prstGeom>
                    <a:noFill/>
                    <a:ln w="9525">
                      <a:noFill/>
                    </a:ln>
                  </pic:spPr>
                </pic:pic>
              </a:graphicData>
            </a:graphic>
          </wp:inline>
        </w:drawing>
      </w:r>
      <w:r>
        <w:drawing>
          <wp:inline distT="0" distB="0" distL="114300" distR="114300">
            <wp:extent cx="5269865" cy="8284210"/>
            <wp:effectExtent l="0" t="0" r="6985" b="254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58"/>
                    <a:stretch>
                      <a:fillRect/>
                    </a:stretch>
                  </pic:blipFill>
                  <pic:spPr>
                    <a:xfrm>
                      <a:off x="0" y="0"/>
                      <a:ext cx="5269865" cy="8284210"/>
                    </a:xfrm>
                    <a:prstGeom prst="rect">
                      <a:avLst/>
                    </a:prstGeom>
                    <a:noFill/>
                    <a:ln w="9525">
                      <a:noFill/>
                    </a:ln>
                  </pic:spPr>
                </pic:pic>
              </a:graphicData>
            </a:graphic>
          </wp:inline>
        </w:drawing>
      </w:r>
      <w:r>
        <w:drawing>
          <wp:inline distT="0" distB="0" distL="114300" distR="114300">
            <wp:extent cx="5246370" cy="8028940"/>
            <wp:effectExtent l="0" t="0" r="11430" b="1016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59"/>
                    <a:srcRect l="8047" t="1826" r="9076" b="5308"/>
                    <a:stretch>
                      <a:fillRect/>
                    </a:stretch>
                  </pic:blipFill>
                  <pic:spPr>
                    <a:xfrm>
                      <a:off x="0" y="0"/>
                      <a:ext cx="5246370" cy="8028940"/>
                    </a:xfrm>
                    <a:prstGeom prst="rect">
                      <a:avLst/>
                    </a:prstGeom>
                    <a:noFill/>
                    <a:ln w="9525">
                      <a:noFill/>
                    </a:ln>
                  </pic:spPr>
                </pic:pic>
              </a:graphicData>
            </a:graphic>
          </wp:inline>
        </w:drawing>
      </w:r>
      <w:r>
        <w:drawing>
          <wp:inline distT="0" distB="0" distL="114300" distR="114300">
            <wp:extent cx="5156835" cy="8122285"/>
            <wp:effectExtent l="0" t="0" r="5715" b="1206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60"/>
                    <a:srcRect l="5172" t="5461" r="5679" b="3206"/>
                    <a:stretch>
                      <a:fillRect/>
                    </a:stretch>
                  </pic:blipFill>
                  <pic:spPr>
                    <a:xfrm>
                      <a:off x="0" y="0"/>
                      <a:ext cx="5156835" cy="8122285"/>
                    </a:xfrm>
                    <a:prstGeom prst="rect">
                      <a:avLst/>
                    </a:prstGeom>
                    <a:noFill/>
                    <a:ln w="9525">
                      <a:noFill/>
                    </a:ln>
                  </pic:spPr>
                </pic:pic>
              </a:graphicData>
            </a:graphic>
          </wp:inline>
        </w:drawing>
      </w:r>
      <w:r>
        <w:rPr>
          <w:rFonts w:hint="eastAsia"/>
        </w:rPr>
        <w:t>附件十</w:t>
      </w:r>
      <w:r>
        <w:rPr>
          <w:rFonts w:hint="eastAsia"/>
          <w:lang w:val="en-US" w:eastAsia="zh-CN"/>
        </w:rPr>
        <w:t>一</w:t>
      </w:r>
      <w:r>
        <w:rPr>
          <w:rFonts w:hint="eastAsia"/>
        </w:rPr>
        <w:t>：注水水质监测报告；</w:t>
      </w:r>
    </w:p>
    <w:p>
      <w:r>
        <w:rPr>
          <w:rFonts w:hint="eastAsia"/>
        </w:rPr>
        <w:drawing>
          <wp:inline distT="0" distB="0" distL="114300" distR="114300">
            <wp:extent cx="5274310" cy="7316470"/>
            <wp:effectExtent l="0" t="0" r="2540" b="17780"/>
            <wp:docPr id="29" name="图片 29" descr="吐鲁番采油厂神泉联合站水质报告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吐鲁番采油厂神泉联合站水质报告1 001"/>
                    <pic:cNvPicPr>
                      <a:picLocks noChangeAspect="1"/>
                    </pic:cNvPicPr>
                  </pic:nvPicPr>
                  <pic:blipFill>
                    <a:blip r:embed="rId61">
                      <a:lum bright="18000"/>
                    </a:blip>
                    <a:stretch>
                      <a:fillRect/>
                    </a:stretch>
                  </pic:blipFill>
                  <pic:spPr>
                    <a:xfrm>
                      <a:off x="0" y="0"/>
                      <a:ext cx="5274310" cy="7316470"/>
                    </a:xfrm>
                    <a:prstGeom prst="rect">
                      <a:avLst/>
                    </a:prstGeom>
                  </pic:spPr>
                </pic:pic>
              </a:graphicData>
            </a:graphic>
          </wp:inline>
        </w:drawing>
      </w:r>
      <w:r>
        <w:rPr>
          <w:rFonts w:hint="eastAsia"/>
        </w:rPr>
        <w:drawing>
          <wp:inline distT="0" distB="0" distL="114300" distR="114300">
            <wp:extent cx="5274310" cy="7316470"/>
            <wp:effectExtent l="0" t="0" r="2540" b="17780"/>
            <wp:docPr id="30" name="图片 30" descr="神泉联合站水质报告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神泉联合站水质报告2 001"/>
                    <pic:cNvPicPr>
                      <a:picLocks noChangeAspect="1"/>
                    </pic:cNvPicPr>
                  </pic:nvPicPr>
                  <pic:blipFill>
                    <a:blip r:embed="rId62">
                      <a:lum bright="18000"/>
                    </a:blip>
                    <a:stretch>
                      <a:fillRect/>
                    </a:stretch>
                  </pic:blipFill>
                  <pic:spPr>
                    <a:xfrm>
                      <a:off x="0" y="0"/>
                      <a:ext cx="5274310" cy="7316470"/>
                    </a:xfrm>
                    <a:prstGeom prst="rect">
                      <a:avLst/>
                    </a:prstGeom>
                  </pic:spPr>
                </pic:pic>
              </a:graphicData>
            </a:graphic>
          </wp:inline>
        </w:drawing>
      </w:r>
      <w:r>
        <w:rPr>
          <w:rFonts w:hint="eastAsia"/>
        </w:rPr>
        <w:drawing>
          <wp:inline distT="0" distB="0" distL="114300" distR="114300">
            <wp:extent cx="5274310" cy="8402320"/>
            <wp:effectExtent l="0" t="0" r="2540" b="17780"/>
            <wp:docPr id="28" name="图片 28" descr="神泉联合站水质报告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神泉联合站水质报告3 001"/>
                    <pic:cNvPicPr>
                      <a:picLocks noChangeAspect="1"/>
                    </pic:cNvPicPr>
                  </pic:nvPicPr>
                  <pic:blipFill>
                    <a:blip r:embed="rId63">
                      <a:lum bright="18000"/>
                    </a:blip>
                    <a:stretch>
                      <a:fillRect/>
                    </a:stretch>
                  </pic:blipFill>
                  <pic:spPr>
                    <a:xfrm>
                      <a:off x="0" y="0"/>
                      <a:ext cx="5274310" cy="8402320"/>
                    </a:xfrm>
                    <a:prstGeom prst="rect">
                      <a:avLst/>
                    </a:prstGeom>
                  </pic:spPr>
                </pic:pic>
              </a:graphicData>
            </a:graphic>
          </wp:inline>
        </w:drawing>
      </w:r>
      <w:r>
        <w:rPr>
          <w:rFonts w:hint="eastAsia"/>
        </w:rPr>
        <w:t>附件十</w:t>
      </w:r>
      <w:r>
        <w:rPr>
          <w:rFonts w:hint="eastAsia"/>
          <w:lang w:val="en-US" w:eastAsia="zh-CN"/>
        </w:rPr>
        <w:t>二</w:t>
      </w:r>
      <w:r>
        <w:rPr>
          <w:rFonts w:hint="eastAsia"/>
        </w:rPr>
        <w:t>：监测报告；</w:t>
      </w:r>
    </w:p>
    <w:p>
      <w:pPr>
        <w:rPr>
          <w:rFonts w:hint="eastAsia" w:hAnsi="宋体" w:eastAsia="宋体" w:cs="宋体"/>
          <w:szCs w:val="28"/>
          <w:lang w:eastAsia="zh-CN"/>
        </w:rPr>
      </w:pPr>
      <w:r>
        <w:rPr>
          <w:rFonts w:hint="eastAsia" w:hAnsi="宋体" w:eastAsia="宋体" w:cs="宋体"/>
          <w:szCs w:val="28"/>
          <w:lang w:eastAsia="zh-CN"/>
        </w:rPr>
        <w:drawing>
          <wp:inline distT="0" distB="0" distL="114300" distR="114300">
            <wp:extent cx="5269865" cy="7882890"/>
            <wp:effectExtent l="0" t="0" r="6985" b="3810"/>
            <wp:docPr id="46" name="图片 46" descr="正本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正本_00"/>
                    <pic:cNvPicPr>
                      <a:picLocks noChangeAspect="1"/>
                    </pic:cNvPicPr>
                  </pic:nvPicPr>
                  <pic:blipFill>
                    <a:blip r:embed="rId64"/>
                    <a:stretch>
                      <a:fillRect/>
                    </a:stretch>
                  </pic:blipFill>
                  <pic:spPr>
                    <a:xfrm>
                      <a:off x="0" y="0"/>
                      <a:ext cx="5269865" cy="7882890"/>
                    </a:xfrm>
                    <a:prstGeom prst="rect">
                      <a:avLst/>
                    </a:prstGeom>
                  </pic:spPr>
                </pic:pic>
              </a:graphicData>
            </a:graphic>
          </wp:inline>
        </w:drawing>
      </w:r>
      <w:r>
        <w:rPr>
          <w:rFonts w:hint="eastAsia" w:hAnsi="宋体" w:eastAsia="宋体" w:cs="宋体"/>
          <w:szCs w:val="28"/>
          <w:lang w:eastAsia="zh-CN"/>
        </w:rPr>
        <w:drawing>
          <wp:inline distT="0" distB="0" distL="114300" distR="114300">
            <wp:extent cx="5269865" cy="8121015"/>
            <wp:effectExtent l="0" t="0" r="6985" b="13335"/>
            <wp:docPr id="45" name="图片 45" descr="正本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正本_01"/>
                    <pic:cNvPicPr>
                      <a:picLocks noChangeAspect="1"/>
                    </pic:cNvPicPr>
                  </pic:nvPicPr>
                  <pic:blipFill>
                    <a:blip r:embed="rId65"/>
                    <a:stretch>
                      <a:fillRect/>
                    </a:stretch>
                  </pic:blipFill>
                  <pic:spPr>
                    <a:xfrm>
                      <a:off x="0" y="0"/>
                      <a:ext cx="5269865" cy="8121015"/>
                    </a:xfrm>
                    <a:prstGeom prst="rect">
                      <a:avLst/>
                    </a:prstGeom>
                  </pic:spPr>
                </pic:pic>
              </a:graphicData>
            </a:graphic>
          </wp:inline>
        </w:drawing>
      </w:r>
      <w:r>
        <w:rPr>
          <w:rFonts w:hint="eastAsia" w:hAnsi="宋体" w:eastAsia="宋体" w:cs="宋体"/>
          <w:szCs w:val="28"/>
          <w:lang w:eastAsia="zh-CN"/>
        </w:rPr>
        <w:drawing>
          <wp:inline distT="0" distB="0" distL="114300" distR="114300">
            <wp:extent cx="5269865" cy="7851775"/>
            <wp:effectExtent l="0" t="0" r="6985" b="15875"/>
            <wp:docPr id="44" name="图片 44" descr="正本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正本_02"/>
                    <pic:cNvPicPr>
                      <a:picLocks noChangeAspect="1"/>
                    </pic:cNvPicPr>
                  </pic:nvPicPr>
                  <pic:blipFill>
                    <a:blip r:embed="rId66"/>
                    <a:stretch>
                      <a:fillRect/>
                    </a:stretch>
                  </pic:blipFill>
                  <pic:spPr>
                    <a:xfrm>
                      <a:off x="0" y="0"/>
                      <a:ext cx="5269865" cy="7851775"/>
                    </a:xfrm>
                    <a:prstGeom prst="rect">
                      <a:avLst/>
                    </a:prstGeom>
                  </pic:spPr>
                </pic:pic>
              </a:graphicData>
            </a:graphic>
          </wp:inline>
        </w:drawing>
      </w:r>
      <w:r>
        <w:rPr>
          <w:rFonts w:hint="eastAsia" w:hAnsi="宋体" w:eastAsia="宋体" w:cs="宋体"/>
          <w:szCs w:val="28"/>
          <w:lang w:eastAsia="zh-CN"/>
        </w:rPr>
        <w:drawing>
          <wp:inline distT="0" distB="0" distL="114300" distR="114300">
            <wp:extent cx="5269865" cy="8248650"/>
            <wp:effectExtent l="0" t="0" r="6985" b="0"/>
            <wp:docPr id="43" name="图片 43" descr="正本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正本_03"/>
                    <pic:cNvPicPr>
                      <a:picLocks noChangeAspect="1"/>
                    </pic:cNvPicPr>
                  </pic:nvPicPr>
                  <pic:blipFill>
                    <a:blip r:embed="rId67"/>
                    <a:stretch>
                      <a:fillRect/>
                    </a:stretch>
                  </pic:blipFill>
                  <pic:spPr>
                    <a:xfrm>
                      <a:off x="0" y="0"/>
                      <a:ext cx="5269865" cy="8248650"/>
                    </a:xfrm>
                    <a:prstGeom prst="rect">
                      <a:avLst/>
                    </a:prstGeom>
                  </pic:spPr>
                </pic:pic>
              </a:graphicData>
            </a:graphic>
          </wp:inline>
        </w:drawing>
      </w:r>
      <w:r>
        <w:rPr>
          <w:rFonts w:hint="eastAsia" w:hAnsi="宋体" w:eastAsia="宋体" w:cs="宋体"/>
          <w:szCs w:val="28"/>
          <w:lang w:eastAsia="zh-CN"/>
        </w:rPr>
        <w:drawing>
          <wp:inline distT="0" distB="0" distL="114300" distR="114300">
            <wp:extent cx="5269865" cy="7914640"/>
            <wp:effectExtent l="0" t="0" r="6985" b="10160"/>
            <wp:docPr id="42" name="图片 42" descr="正本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正本_04"/>
                    <pic:cNvPicPr>
                      <a:picLocks noChangeAspect="1"/>
                    </pic:cNvPicPr>
                  </pic:nvPicPr>
                  <pic:blipFill>
                    <a:blip r:embed="rId68"/>
                    <a:stretch>
                      <a:fillRect/>
                    </a:stretch>
                  </pic:blipFill>
                  <pic:spPr>
                    <a:xfrm>
                      <a:off x="0" y="0"/>
                      <a:ext cx="5269865" cy="7914640"/>
                    </a:xfrm>
                    <a:prstGeom prst="rect">
                      <a:avLst/>
                    </a:prstGeom>
                  </pic:spPr>
                </pic:pic>
              </a:graphicData>
            </a:graphic>
          </wp:inline>
        </w:drawing>
      </w:r>
      <w:r>
        <w:rPr>
          <w:rFonts w:hint="eastAsia" w:hAnsi="宋体" w:eastAsia="宋体" w:cs="宋体"/>
          <w:szCs w:val="28"/>
          <w:lang w:eastAsia="zh-CN"/>
        </w:rPr>
        <w:drawing>
          <wp:inline distT="0" distB="0" distL="114300" distR="114300">
            <wp:extent cx="5269865" cy="8025765"/>
            <wp:effectExtent l="0" t="0" r="6985" b="13335"/>
            <wp:docPr id="41" name="图片 41" descr="正本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正本_05"/>
                    <pic:cNvPicPr>
                      <a:picLocks noChangeAspect="1"/>
                    </pic:cNvPicPr>
                  </pic:nvPicPr>
                  <pic:blipFill>
                    <a:blip r:embed="rId69"/>
                    <a:stretch>
                      <a:fillRect/>
                    </a:stretch>
                  </pic:blipFill>
                  <pic:spPr>
                    <a:xfrm>
                      <a:off x="0" y="0"/>
                      <a:ext cx="5269865" cy="8025765"/>
                    </a:xfrm>
                    <a:prstGeom prst="rect">
                      <a:avLst/>
                    </a:prstGeom>
                  </pic:spPr>
                </pic:pic>
              </a:graphicData>
            </a:graphic>
          </wp:inline>
        </w:drawing>
      </w:r>
      <w:r>
        <w:rPr>
          <w:rFonts w:hint="eastAsia" w:hAnsi="宋体" w:eastAsia="宋体" w:cs="宋体"/>
          <w:szCs w:val="28"/>
          <w:lang w:eastAsia="zh-CN"/>
        </w:rPr>
        <w:drawing>
          <wp:inline distT="0" distB="0" distL="114300" distR="114300">
            <wp:extent cx="5269865" cy="7296150"/>
            <wp:effectExtent l="0" t="0" r="6985" b="0"/>
            <wp:docPr id="36" name="图片 36" descr="正本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正本_06"/>
                    <pic:cNvPicPr>
                      <a:picLocks noChangeAspect="1"/>
                    </pic:cNvPicPr>
                  </pic:nvPicPr>
                  <pic:blipFill>
                    <a:blip r:embed="rId70"/>
                    <a:stretch>
                      <a:fillRect/>
                    </a:stretch>
                  </pic:blipFill>
                  <pic:spPr>
                    <a:xfrm>
                      <a:off x="0" y="0"/>
                      <a:ext cx="5269865" cy="7296150"/>
                    </a:xfrm>
                    <a:prstGeom prst="rect">
                      <a:avLst/>
                    </a:prstGeom>
                  </pic:spPr>
                </pic:pic>
              </a:graphicData>
            </a:graphic>
          </wp:inline>
        </w:drawing>
      </w:r>
    </w:p>
    <w:p>
      <w:pPr>
        <w:rPr>
          <w:rFonts w:hint="eastAsia" w:hAnsi="宋体" w:eastAsia="宋体" w:cs="宋体"/>
          <w:szCs w:val="28"/>
          <w:lang w:eastAsia="zh-CN"/>
        </w:rPr>
      </w:pPr>
    </w:p>
    <w:p>
      <w:pPr>
        <w:rPr>
          <w:rFonts w:hAnsi="宋体" w:cs="宋体"/>
          <w:szCs w:val="28"/>
        </w:rPr>
      </w:pPr>
    </w:p>
    <w:p>
      <w:pPr>
        <w:rPr>
          <w:rFonts w:hAnsi="宋体" w:cs="宋体"/>
          <w:szCs w:val="28"/>
        </w:rPr>
      </w:pPr>
    </w:p>
    <w:p>
      <w:pPr>
        <w:rPr>
          <w:rFonts w:hAnsi="宋体" w:cs="宋体"/>
          <w:szCs w:val="28"/>
        </w:rPr>
        <w:sectPr>
          <w:headerReference r:id="rId11" w:type="default"/>
          <w:pgSz w:w="11906" w:h="16838"/>
          <w:pgMar w:top="1440" w:right="1800" w:bottom="1440" w:left="1800" w:header="737" w:footer="1191" w:gutter="0"/>
          <w:cols w:space="720" w:num="1"/>
          <w:docGrid w:type="lines" w:linePitch="312" w:charSpace="0"/>
        </w:sectPr>
      </w:pPr>
    </w:p>
    <w:p>
      <w:pPr>
        <w:spacing w:beforeLines="50" w:afterLines="50"/>
        <w:jc w:val="both"/>
        <w:rPr>
          <w:rFonts w:eastAsia="黑体"/>
          <w:b/>
          <w:sz w:val="36"/>
          <w:szCs w:val="36"/>
        </w:rPr>
      </w:pPr>
      <w:r>
        <w:rPr>
          <w:sz w:val="36"/>
        </w:rP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-217805</wp:posOffset>
                </wp:positionV>
                <wp:extent cx="1783715" cy="487680"/>
                <wp:effectExtent l="0" t="0" r="6985" b="7620"/>
                <wp:wrapSquare wrapText="bothSides"/>
                <wp:docPr id="37" name="文本框 155"/>
                <wp:cNvGraphicFramePr/>
                <a:graphic xmlns:a="http://schemas.openxmlformats.org/drawingml/2006/main">
                  <a:graphicData uri="http://schemas.microsoft.com/office/word/2010/wordprocessingShape">
                    <wps:wsp>
                      <wps:cNvSpPr txBox="1"/>
                      <wps:spPr>
                        <a:xfrm>
                          <a:off x="0" y="0"/>
                          <a:ext cx="1783715" cy="487680"/>
                        </a:xfrm>
                        <a:prstGeom prst="rect">
                          <a:avLst/>
                        </a:prstGeom>
                        <a:solidFill>
                          <a:srgbClr val="FFFFFF"/>
                        </a:solidFill>
                        <a:ln w="9525">
                          <a:noFill/>
                        </a:ln>
                        <a:effectLst/>
                      </wps:spPr>
                      <wps:txbx>
                        <w:txbxContent>
                          <w:p>
                            <w:pPr>
                              <w:rPr>
                                <w:rFonts w:hAnsi="宋体" w:cs="宋体"/>
                                <w:szCs w:val="28"/>
                              </w:rPr>
                            </w:pPr>
                            <w:r>
                              <w:rPr>
                                <w:rFonts w:hint="eastAsia" w:hAnsi="宋体" w:cs="宋体"/>
                                <w:szCs w:val="28"/>
                              </w:rPr>
                              <w:t>附件</w:t>
                            </w:r>
                            <w:r>
                              <w:rPr>
                                <w:rFonts w:hint="eastAsia" w:hAnsi="宋体" w:cs="宋体"/>
                                <w:szCs w:val="28"/>
                                <w:lang w:val="en-US" w:eastAsia="zh-CN"/>
                              </w:rPr>
                              <w:t>十三</w:t>
                            </w:r>
                            <w:r>
                              <w:rPr>
                                <w:rFonts w:hint="eastAsia" w:hAnsi="宋体" w:cs="宋体"/>
                                <w:szCs w:val="28"/>
                              </w:rPr>
                              <w:t>：三同时表；</w:t>
                            </w:r>
                          </w:p>
                        </w:txbxContent>
                      </wps:txbx>
                      <wps:bodyPr wrap="none" lIns="91439" tIns="45720" rIns="91439" bIns="45720" upright="1">
                        <a:spAutoFit/>
                      </wps:bodyPr>
                    </wps:wsp>
                  </a:graphicData>
                </a:graphic>
              </wp:anchor>
            </w:drawing>
          </mc:Choice>
          <mc:Fallback>
            <w:pict>
              <v:shape id="文本框 155" o:spid="_x0000_s1026" o:spt="202" type="#_x0000_t202" style="position:absolute;left:0pt;margin-left:0.05pt;margin-top:-17.15pt;height:38.4pt;width:140.45pt;mso-wrap-distance-bottom:0pt;mso-wrap-distance-left:9pt;mso-wrap-distance-right:9pt;mso-wrap-distance-top:0pt;mso-wrap-style:none;z-index:251663360;mso-width-relative:page;mso-height-relative:page;" fillcolor="#FFFFFF" filled="t" stroked="f" coordsize="21600,21600" o:gfxdata="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JRgVdYAAAAHAQAADwAAAAAAAAABACAAAAAiAAAAZHJzL2Rvd25y&#10;ZXYueG1sUEsBAhQAFAAAAAgAh07iQLvU/b8AAgAA6wMAAA4AAAAAAAAAAQAgAAAAJQEAAGRycy9l&#10;Mm9Eb2MueG1sUEsFBgAAAAAGAAYAWQEAAJcFAAAAAA==&#10;">
                <v:fill on="t" focussize="0,0"/>
                <v:stroke on="f"/>
                <v:imagedata o:title=""/>
                <o:lock v:ext="edit" aspectratio="f"/>
                <v:textbox inset="7.19992125984252pt,1.27mm,7.19992125984252pt,1.27mm" style="mso-fit-shape-to-text:t;">
                  <w:txbxContent>
                    <w:p>
                      <w:pPr>
                        <w:rPr>
                          <w:rFonts w:hAnsi="宋体" w:cs="宋体"/>
                          <w:szCs w:val="28"/>
                        </w:rPr>
                      </w:pPr>
                      <w:r>
                        <w:rPr>
                          <w:rFonts w:hint="eastAsia" w:hAnsi="宋体" w:cs="宋体"/>
                          <w:szCs w:val="28"/>
                        </w:rPr>
                        <w:t>附件</w:t>
                      </w:r>
                      <w:r>
                        <w:rPr>
                          <w:rFonts w:hint="eastAsia" w:hAnsi="宋体" w:cs="宋体"/>
                          <w:szCs w:val="28"/>
                          <w:lang w:val="en-US" w:eastAsia="zh-CN"/>
                        </w:rPr>
                        <w:t>十三</w:t>
                      </w:r>
                      <w:r>
                        <w:rPr>
                          <w:rFonts w:hint="eastAsia" w:hAnsi="宋体" w:cs="宋体"/>
                          <w:szCs w:val="28"/>
                        </w:rPr>
                        <w:t>：三同时表；</w:t>
                      </w:r>
                    </w:p>
                  </w:txbxContent>
                </v:textbox>
                <w10:wrap type="square"/>
              </v:shape>
            </w:pict>
          </mc:Fallback>
        </mc:AlternateContent>
      </w:r>
      <w:r>
        <w:rPr>
          <w:rFonts w:eastAsia="黑体"/>
          <w:b/>
          <w:sz w:val="36"/>
          <w:szCs w:val="36"/>
        </w:rPr>
        <w:t>建设项目工程竣工环境保护“三同时”验收登记表</w:t>
      </w:r>
    </w:p>
    <w:p>
      <w:pPr>
        <w:rPr>
          <w:szCs w:val="21"/>
        </w:rPr>
      </w:pPr>
      <w:r>
        <w:rPr>
          <w:szCs w:val="21"/>
        </w:rPr>
        <w:t xml:space="preserve">填表单位（盖章）：         填表人（签字）：                 项目经办人（签 字）：        </w:t>
      </w:r>
    </w:p>
    <w:tbl>
      <w:tblPr>
        <w:tblStyle w:val="40"/>
        <w:tblW w:w="14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849"/>
        <w:gridCol w:w="849"/>
        <w:gridCol w:w="844"/>
        <w:gridCol w:w="176"/>
        <w:gridCol w:w="802"/>
        <w:gridCol w:w="290"/>
        <w:gridCol w:w="93"/>
        <w:gridCol w:w="40"/>
        <w:gridCol w:w="497"/>
        <w:gridCol w:w="1057"/>
        <w:gridCol w:w="1930"/>
        <w:gridCol w:w="796"/>
        <w:gridCol w:w="1065"/>
        <w:gridCol w:w="990"/>
        <w:gridCol w:w="79"/>
        <w:gridCol w:w="1144"/>
        <w:gridCol w:w="1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58" w:type="dxa"/>
            <w:vMerge w:val="restart"/>
            <w:textDirection w:val="tbRlV"/>
            <w:vAlign w:val="center"/>
          </w:tcPr>
          <w:p>
            <w:pPr>
              <w:snapToGrid w:val="0"/>
              <w:spacing w:line="240" w:lineRule="auto"/>
              <w:ind w:left="113" w:right="113"/>
              <w:jc w:val="center"/>
              <w:rPr>
                <w:b/>
                <w:sz w:val="16"/>
                <w:szCs w:val="16"/>
              </w:rPr>
            </w:pPr>
            <w:r>
              <w:rPr>
                <w:b/>
                <w:sz w:val="16"/>
                <w:szCs w:val="16"/>
              </w:rPr>
              <w:t>建 设 项 目</w:t>
            </w:r>
          </w:p>
        </w:tc>
        <w:tc>
          <w:tcPr>
            <w:tcW w:w="1849" w:type="dxa"/>
            <w:vAlign w:val="center"/>
          </w:tcPr>
          <w:p>
            <w:pPr>
              <w:snapToGrid w:val="0"/>
              <w:spacing w:line="240" w:lineRule="auto"/>
              <w:jc w:val="center"/>
              <w:rPr>
                <w:b/>
                <w:sz w:val="16"/>
                <w:szCs w:val="16"/>
              </w:rPr>
            </w:pPr>
            <w:r>
              <w:rPr>
                <w:b/>
                <w:sz w:val="16"/>
                <w:szCs w:val="16"/>
              </w:rPr>
              <w:t>项目名称</w:t>
            </w:r>
          </w:p>
        </w:tc>
        <w:tc>
          <w:tcPr>
            <w:tcW w:w="4648" w:type="dxa"/>
            <w:gridSpan w:val="9"/>
            <w:vAlign w:val="center"/>
          </w:tcPr>
          <w:p>
            <w:pPr>
              <w:snapToGrid w:val="0"/>
              <w:spacing w:line="240" w:lineRule="auto"/>
              <w:jc w:val="center"/>
              <w:rPr>
                <w:b/>
                <w:bCs/>
                <w:sz w:val="16"/>
                <w:szCs w:val="16"/>
              </w:rPr>
            </w:pPr>
            <w:r>
              <w:rPr>
                <w:rFonts w:hint="eastAsia"/>
                <w:b/>
                <w:bCs/>
                <w:sz w:val="16"/>
                <w:szCs w:val="16"/>
              </w:rPr>
              <w:t>中国石油吐哈油田神泉污水处理系统扩建项目</w:t>
            </w:r>
          </w:p>
        </w:tc>
        <w:tc>
          <w:tcPr>
            <w:tcW w:w="1930" w:type="dxa"/>
            <w:vAlign w:val="center"/>
          </w:tcPr>
          <w:p>
            <w:pPr>
              <w:snapToGrid w:val="0"/>
              <w:spacing w:line="240" w:lineRule="auto"/>
              <w:jc w:val="center"/>
              <w:rPr>
                <w:b/>
                <w:sz w:val="16"/>
                <w:szCs w:val="16"/>
              </w:rPr>
            </w:pPr>
            <w:r>
              <w:rPr>
                <w:b/>
                <w:sz w:val="16"/>
                <w:szCs w:val="16"/>
              </w:rPr>
              <w:t>建设地点</w:t>
            </w:r>
          </w:p>
        </w:tc>
        <w:tc>
          <w:tcPr>
            <w:tcW w:w="5528" w:type="dxa"/>
            <w:gridSpan w:val="6"/>
            <w:vAlign w:val="center"/>
          </w:tcPr>
          <w:p>
            <w:pPr>
              <w:pStyle w:val="18"/>
              <w:spacing w:before="206" w:line="376" w:lineRule="auto"/>
              <w:ind w:right="145"/>
              <w:jc w:val="center"/>
              <w:rPr>
                <w:b/>
                <w:bCs/>
                <w:sz w:val="16"/>
                <w:szCs w:val="16"/>
                <w:highlight w:val="yellow"/>
              </w:rPr>
            </w:pPr>
            <w:r>
              <w:rPr>
                <w:rFonts w:hint="eastAsia"/>
                <w:b/>
                <w:sz w:val="16"/>
                <w:szCs w:val="16"/>
              </w:rPr>
              <w:t>吐鲁番采油厂神泉集中处理站内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58" w:type="dxa"/>
            <w:vMerge w:val="continue"/>
            <w:vAlign w:val="center"/>
          </w:tcPr>
          <w:p>
            <w:pPr>
              <w:snapToGrid w:val="0"/>
              <w:spacing w:line="240" w:lineRule="auto"/>
              <w:jc w:val="center"/>
              <w:rPr>
                <w:b/>
                <w:sz w:val="16"/>
                <w:szCs w:val="16"/>
              </w:rPr>
            </w:pPr>
          </w:p>
        </w:tc>
        <w:tc>
          <w:tcPr>
            <w:tcW w:w="1849" w:type="dxa"/>
            <w:vAlign w:val="center"/>
          </w:tcPr>
          <w:p>
            <w:pPr>
              <w:snapToGrid w:val="0"/>
              <w:spacing w:line="240" w:lineRule="auto"/>
              <w:jc w:val="center"/>
              <w:rPr>
                <w:b/>
                <w:sz w:val="16"/>
                <w:szCs w:val="16"/>
              </w:rPr>
            </w:pPr>
            <w:r>
              <w:rPr>
                <w:b/>
                <w:sz w:val="16"/>
                <w:szCs w:val="16"/>
              </w:rPr>
              <w:t>行业类别</w:t>
            </w:r>
          </w:p>
        </w:tc>
        <w:tc>
          <w:tcPr>
            <w:tcW w:w="4648" w:type="dxa"/>
            <w:gridSpan w:val="9"/>
            <w:vAlign w:val="center"/>
          </w:tcPr>
          <w:p>
            <w:pPr>
              <w:snapToGrid w:val="0"/>
              <w:spacing w:line="240" w:lineRule="auto"/>
              <w:jc w:val="center"/>
              <w:rPr>
                <w:rFonts w:hint="eastAsia" w:eastAsia="宋体"/>
                <w:b/>
                <w:bCs/>
                <w:sz w:val="16"/>
                <w:szCs w:val="16"/>
                <w:lang w:eastAsia="zh-CN"/>
              </w:rPr>
            </w:pPr>
            <w:r>
              <w:rPr>
                <w:rFonts w:hint="eastAsia"/>
                <w:b/>
                <w:bCs/>
                <w:sz w:val="16"/>
                <w:szCs w:val="16"/>
                <w:lang w:val="en-US" w:eastAsia="zh-CN"/>
              </w:rPr>
              <w:t>生态保护和环境治理</w:t>
            </w:r>
          </w:p>
        </w:tc>
        <w:tc>
          <w:tcPr>
            <w:tcW w:w="1930" w:type="dxa"/>
            <w:vAlign w:val="center"/>
          </w:tcPr>
          <w:p>
            <w:pPr>
              <w:snapToGrid w:val="0"/>
              <w:spacing w:line="240" w:lineRule="auto"/>
              <w:jc w:val="center"/>
              <w:rPr>
                <w:b/>
                <w:sz w:val="16"/>
                <w:szCs w:val="16"/>
              </w:rPr>
            </w:pPr>
            <w:r>
              <w:rPr>
                <w:b/>
                <w:sz w:val="16"/>
                <w:szCs w:val="16"/>
              </w:rPr>
              <w:t>建设性质</w:t>
            </w:r>
          </w:p>
        </w:tc>
        <w:tc>
          <w:tcPr>
            <w:tcW w:w="5528" w:type="dxa"/>
            <w:gridSpan w:val="6"/>
            <w:vAlign w:val="center"/>
          </w:tcPr>
          <w:p>
            <w:pPr>
              <w:snapToGrid w:val="0"/>
              <w:spacing w:line="240" w:lineRule="auto"/>
              <w:ind w:firstLine="161" w:firstLineChars="100"/>
              <w:jc w:val="center"/>
              <w:rPr>
                <w:b/>
                <w:sz w:val="16"/>
                <w:szCs w:val="16"/>
              </w:rPr>
            </w:pPr>
            <w:r>
              <w:rPr>
                <w:b/>
                <w:sz w:val="16"/>
                <w:szCs w:val="16"/>
              </w:rPr>
              <w:t xml:space="preserve"> □</w:t>
            </w:r>
            <w:r>
              <w:rPr>
                <w:b/>
                <w:color w:val="000000"/>
                <w:sz w:val="16"/>
                <w:szCs w:val="16"/>
              </w:rPr>
              <w:t>新 建</w:t>
            </w:r>
            <w:r>
              <w:rPr>
                <w:b/>
                <w:color w:val="000000"/>
                <w:sz w:val="16"/>
                <w:szCs w:val="16"/>
              </w:rPr>
              <w:fldChar w:fldCharType="begin"/>
            </w:r>
            <w:r>
              <w:rPr>
                <w:b/>
                <w:color w:val="000000"/>
                <w:sz w:val="16"/>
                <w:szCs w:val="16"/>
              </w:rPr>
              <w:instrText xml:space="preserve"> eq \o\ac(</w:instrText>
            </w:r>
            <w:r>
              <w:rPr>
                <w:b/>
                <w:color w:val="000000"/>
                <w:position w:val="-3"/>
                <w:sz w:val="24"/>
                <w:szCs w:val="16"/>
              </w:rPr>
              <w:instrText xml:space="preserve">□</w:instrText>
            </w:r>
            <w:r>
              <w:rPr>
                <w:b/>
                <w:color w:val="000000"/>
                <w:sz w:val="16"/>
                <w:szCs w:val="16"/>
              </w:rPr>
              <w:instrText xml:space="preserve">,√)</w:instrText>
            </w:r>
            <w:r>
              <w:rPr>
                <w:b/>
                <w:color w:val="000000"/>
                <w:sz w:val="16"/>
                <w:szCs w:val="16"/>
              </w:rPr>
              <w:fldChar w:fldCharType="end"/>
            </w:r>
            <w:r>
              <w:rPr>
                <w:b/>
                <w:sz w:val="16"/>
                <w:szCs w:val="16"/>
              </w:rPr>
              <w:t>改 扩 建          □ 技 术 改 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58" w:type="dxa"/>
            <w:vMerge w:val="continue"/>
            <w:vAlign w:val="center"/>
          </w:tcPr>
          <w:p>
            <w:pPr>
              <w:snapToGrid w:val="0"/>
              <w:spacing w:line="240" w:lineRule="auto"/>
              <w:jc w:val="center"/>
              <w:rPr>
                <w:b/>
                <w:sz w:val="16"/>
                <w:szCs w:val="16"/>
              </w:rPr>
            </w:pPr>
          </w:p>
        </w:tc>
        <w:tc>
          <w:tcPr>
            <w:tcW w:w="1849" w:type="dxa"/>
            <w:vAlign w:val="center"/>
          </w:tcPr>
          <w:p>
            <w:pPr>
              <w:snapToGrid w:val="0"/>
              <w:spacing w:line="240" w:lineRule="auto"/>
              <w:jc w:val="center"/>
              <w:rPr>
                <w:b/>
                <w:sz w:val="16"/>
                <w:szCs w:val="16"/>
              </w:rPr>
            </w:pPr>
            <w:r>
              <w:rPr>
                <w:b/>
                <w:sz w:val="16"/>
                <w:szCs w:val="16"/>
              </w:rPr>
              <w:t>设计生产能力</w:t>
            </w:r>
          </w:p>
        </w:tc>
        <w:tc>
          <w:tcPr>
            <w:tcW w:w="1693" w:type="dxa"/>
            <w:gridSpan w:val="2"/>
            <w:vAlign w:val="center"/>
          </w:tcPr>
          <w:p>
            <w:pPr>
              <w:snapToGrid w:val="0"/>
              <w:spacing w:line="240" w:lineRule="auto"/>
              <w:jc w:val="center"/>
              <w:rPr>
                <w:b/>
                <w:sz w:val="16"/>
                <w:szCs w:val="16"/>
              </w:rPr>
            </w:pPr>
            <w:r>
              <w:rPr>
                <w:rFonts w:hint="eastAsia"/>
                <w:b/>
                <w:color w:val="000000"/>
                <w:sz w:val="16"/>
                <w:szCs w:val="16"/>
              </w:rPr>
              <w:t>日常处理规模为3000m</w:t>
            </w:r>
            <w:r>
              <w:rPr>
                <w:rFonts w:hint="eastAsia"/>
                <w:b/>
                <w:color w:val="000000"/>
                <w:sz w:val="16"/>
                <w:szCs w:val="16"/>
                <w:vertAlign w:val="superscript"/>
              </w:rPr>
              <w:t>3</w:t>
            </w:r>
            <w:r>
              <w:rPr>
                <w:rFonts w:hint="eastAsia"/>
                <w:b/>
                <w:color w:val="000000"/>
                <w:sz w:val="16"/>
                <w:szCs w:val="16"/>
              </w:rPr>
              <w:t>/d</w:t>
            </w:r>
          </w:p>
        </w:tc>
        <w:tc>
          <w:tcPr>
            <w:tcW w:w="1401" w:type="dxa"/>
            <w:gridSpan w:val="5"/>
            <w:vAlign w:val="center"/>
          </w:tcPr>
          <w:p>
            <w:pPr>
              <w:snapToGrid w:val="0"/>
              <w:spacing w:line="240" w:lineRule="auto"/>
              <w:jc w:val="center"/>
              <w:rPr>
                <w:b/>
                <w:sz w:val="16"/>
                <w:szCs w:val="16"/>
              </w:rPr>
            </w:pPr>
            <w:r>
              <w:rPr>
                <w:b/>
                <w:sz w:val="16"/>
                <w:szCs w:val="16"/>
              </w:rPr>
              <w:t>建设项目</w:t>
            </w:r>
          </w:p>
          <w:p>
            <w:pPr>
              <w:snapToGrid w:val="0"/>
              <w:spacing w:line="240" w:lineRule="auto"/>
              <w:jc w:val="center"/>
              <w:rPr>
                <w:b/>
                <w:sz w:val="16"/>
                <w:szCs w:val="16"/>
              </w:rPr>
            </w:pPr>
            <w:r>
              <w:rPr>
                <w:b/>
                <w:sz w:val="16"/>
                <w:szCs w:val="16"/>
              </w:rPr>
              <w:t>开工日期</w:t>
            </w:r>
          </w:p>
        </w:tc>
        <w:tc>
          <w:tcPr>
            <w:tcW w:w="1554" w:type="dxa"/>
            <w:gridSpan w:val="2"/>
            <w:vAlign w:val="center"/>
          </w:tcPr>
          <w:p>
            <w:pPr>
              <w:tabs>
                <w:tab w:val="center" w:pos="729"/>
                <w:tab w:val="right" w:pos="1338"/>
              </w:tabs>
              <w:snapToGrid w:val="0"/>
              <w:spacing w:line="240" w:lineRule="auto"/>
              <w:jc w:val="center"/>
              <w:rPr>
                <w:b/>
                <w:bCs/>
                <w:sz w:val="16"/>
                <w:szCs w:val="16"/>
              </w:rPr>
            </w:pPr>
            <w:r>
              <w:rPr>
                <w:rFonts w:hint="eastAsia"/>
                <w:b/>
                <w:bCs/>
                <w:sz w:val="16"/>
                <w:szCs w:val="16"/>
              </w:rPr>
              <w:t>2016.5</w:t>
            </w:r>
          </w:p>
        </w:tc>
        <w:tc>
          <w:tcPr>
            <w:tcW w:w="1930" w:type="dxa"/>
            <w:vAlign w:val="center"/>
          </w:tcPr>
          <w:p>
            <w:pPr>
              <w:snapToGrid w:val="0"/>
              <w:spacing w:line="240" w:lineRule="auto"/>
              <w:jc w:val="center"/>
              <w:rPr>
                <w:b/>
                <w:sz w:val="16"/>
                <w:szCs w:val="16"/>
              </w:rPr>
            </w:pPr>
            <w:r>
              <w:rPr>
                <w:b/>
                <w:sz w:val="16"/>
                <w:szCs w:val="16"/>
              </w:rPr>
              <w:t>实际生产能力</w:t>
            </w:r>
          </w:p>
        </w:tc>
        <w:tc>
          <w:tcPr>
            <w:tcW w:w="1861" w:type="dxa"/>
            <w:gridSpan w:val="2"/>
            <w:vAlign w:val="center"/>
          </w:tcPr>
          <w:p>
            <w:pPr>
              <w:snapToGrid w:val="0"/>
              <w:spacing w:line="240" w:lineRule="auto"/>
              <w:jc w:val="center"/>
              <w:rPr>
                <w:b/>
                <w:color w:val="000000"/>
                <w:sz w:val="16"/>
                <w:szCs w:val="16"/>
              </w:rPr>
            </w:pPr>
            <w:r>
              <w:rPr>
                <w:rFonts w:hint="eastAsia"/>
                <w:b/>
                <w:color w:val="000000"/>
                <w:sz w:val="16"/>
                <w:szCs w:val="16"/>
              </w:rPr>
              <w:t>处理水量为</w:t>
            </w:r>
            <w:r>
              <w:rPr>
                <w:rFonts w:hint="eastAsia"/>
                <w:b/>
                <w:color w:val="000000"/>
                <w:sz w:val="16"/>
                <w:szCs w:val="16"/>
                <w:lang w:val="en-US" w:eastAsia="zh-CN"/>
              </w:rPr>
              <w:t>12</w:t>
            </w:r>
            <w:r>
              <w:rPr>
                <w:rFonts w:hint="eastAsia"/>
                <w:b/>
                <w:color w:val="000000"/>
                <w:sz w:val="16"/>
                <w:szCs w:val="16"/>
              </w:rPr>
              <w:t>00m</w:t>
            </w:r>
            <w:r>
              <w:rPr>
                <w:rFonts w:hint="eastAsia"/>
                <w:b/>
                <w:color w:val="000000"/>
                <w:sz w:val="16"/>
                <w:szCs w:val="16"/>
                <w:vertAlign w:val="superscript"/>
              </w:rPr>
              <w:t>3</w:t>
            </w:r>
            <w:r>
              <w:rPr>
                <w:rFonts w:hint="eastAsia"/>
                <w:b/>
                <w:color w:val="000000"/>
                <w:sz w:val="16"/>
                <w:szCs w:val="16"/>
              </w:rPr>
              <w:t>/d</w:t>
            </w:r>
          </w:p>
        </w:tc>
        <w:tc>
          <w:tcPr>
            <w:tcW w:w="1069" w:type="dxa"/>
            <w:gridSpan w:val="2"/>
            <w:vAlign w:val="center"/>
          </w:tcPr>
          <w:p>
            <w:pPr>
              <w:snapToGrid w:val="0"/>
              <w:spacing w:line="240" w:lineRule="auto"/>
              <w:jc w:val="center"/>
              <w:rPr>
                <w:b/>
                <w:sz w:val="16"/>
                <w:szCs w:val="16"/>
              </w:rPr>
            </w:pPr>
            <w:r>
              <w:rPr>
                <w:b/>
                <w:sz w:val="16"/>
                <w:szCs w:val="16"/>
              </w:rPr>
              <w:t>投入试运行日期</w:t>
            </w:r>
          </w:p>
        </w:tc>
        <w:tc>
          <w:tcPr>
            <w:tcW w:w="2598" w:type="dxa"/>
            <w:gridSpan w:val="2"/>
            <w:vAlign w:val="center"/>
          </w:tcPr>
          <w:p>
            <w:pPr>
              <w:snapToGrid w:val="0"/>
              <w:spacing w:line="240" w:lineRule="auto"/>
              <w:jc w:val="center"/>
              <w:rPr>
                <w:b/>
                <w:color w:val="000000"/>
                <w:sz w:val="16"/>
                <w:szCs w:val="16"/>
              </w:rPr>
            </w:pPr>
            <w:r>
              <w:rPr>
                <w:rFonts w:hint="eastAsia"/>
                <w:b/>
                <w:color w:val="000000"/>
                <w:sz w:val="16"/>
                <w:szCs w:val="16"/>
              </w:rPr>
              <w:t>2017.</w:t>
            </w:r>
            <w:r>
              <w:rPr>
                <w:rFonts w:hint="eastAsia"/>
                <w:b/>
                <w:color w:val="000000"/>
                <w:sz w:val="16"/>
                <w:szCs w:val="16"/>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58" w:type="dxa"/>
            <w:vMerge w:val="continue"/>
            <w:vAlign w:val="center"/>
          </w:tcPr>
          <w:p>
            <w:pPr>
              <w:snapToGrid w:val="0"/>
              <w:spacing w:line="240" w:lineRule="auto"/>
              <w:jc w:val="center"/>
              <w:rPr>
                <w:b/>
                <w:sz w:val="16"/>
                <w:szCs w:val="16"/>
              </w:rPr>
            </w:pPr>
          </w:p>
        </w:tc>
        <w:tc>
          <w:tcPr>
            <w:tcW w:w="1849" w:type="dxa"/>
            <w:vAlign w:val="center"/>
          </w:tcPr>
          <w:p>
            <w:pPr>
              <w:snapToGrid w:val="0"/>
              <w:spacing w:line="240" w:lineRule="auto"/>
              <w:jc w:val="center"/>
              <w:rPr>
                <w:b/>
                <w:sz w:val="16"/>
                <w:szCs w:val="16"/>
              </w:rPr>
            </w:pPr>
            <w:r>
              <w:rPr>
                <w:b/>
                <w:sz w:val="16"/>
                <w:szCs w:val="16"/>
              </w:rPr>
              <w:t>投资总概算（万元）</w:t>
            </w:r>
          </w:p>
        </w:tc>
        <w:tc>
          <w:tcPr>
            <w:tcW w:w="4648" w:type="dxa"/>
            <w:gridSpan w:val="9"/>
            <w:vAlign w:val="center"/>
          </w:tcPr>
          <w:p>
            <w:pPr>
              <w:snapToGrid w:val="0"/>
              <w:spacing w:line="240" w:lineRule="auto"/>
              <w:jc w:val="center"/>
              <w:rPr>
                <w:b/>
                <w:color w:val="000000"/>
                <w:sz w:val="16"/>
                <w:szCs w:val="16"/>
              </w:rPr>
            </w:pPr>
            <w:r>
              <w:rPr>
                <w:rFonts w:hint="eastAsia"/>
                <w:b/>
                <w:color w:val="000000"/>
                <w:sz w:val="16"/>
                <w:szCs w:val="16"/>
              </w:rPr>
              <w:t>2623.16</w:t>
            </w:r>
          </w:p>
        </w:tc>
        <w:tc>
          <w:tcPr>
            <w:tcW w:w="1930" w:type="dxa"/>
            <w:vAlign w:val="center"/>
          </w:tcPr>
          <w:p>
            <w:pPr>
              <w:snapToGrid w:val="0"/>
              <w:spacing w:line="240" w:lineRule="auto"/>
              <w:jc w:val="center"/>
              <w:rPr>
                <w:b/>
                <w:sz w:val="16"/>
                <w:szCs w:val="16"/>
              </w:rPr>
            </w:pPr>
            <w:r>
              <w:rPr>
                <w:b/>
                <w:sz w:val="16"/>
                <w:szCs w:val="16"/>
              </w:rPr>
              <w:t>环保投资总概算</w:t>
            </w:r>
          </w:p>
          <w:p>
            <w:pPr>
              <w:snapToGrid w:val="0"/>
              <w:spacing w:line="240" w:lineRule="auto"/>
              <w:jc w:val="center"/>
              <w:rPr>
                <w:b/>
                <w:sz w:val="16"/>
                <w:szCs w:val="16"/>
              </w:rPr>
            </w:pPr>
            <w:r>
              <w:rPr>
                <w:b/>
                <w:sz w:val="16"/>
                <w:szCs w:val="16"/>
              </w:rPr>
              <w:t>（万元）</w:t>
            </w:r>
          </w:p>
        </w:tc>
        <w:tc>
          <w:tcPr>
            <w:tcW w:w="1861" w:type="dxa"/>
            <w:gridSpan w:val="2"/>
            <w:vAlign w:val="center"/>
          </w:tcPr>
          <w:p>
            <w:pPr>
              <w:snapToGrid w:val="0"/>
              <w:spacing w:line="240" w:lineRule="auto"/>
              <w:jc w:val="center"/>
              <w:rPr>
                <w:b/>
                <w:color w:val="000000"/>
                <w:sz w:val="16"/>
                <w:szCs w:val="16"/>
              </w:rPr>
            </w:pPr>
            <w:r>
              <w:rPr>
                <w:rFonts w:hint="eastAsia"/>
                <w:b/>
                <w:color w:val="000000"/>
                <w:sz w:val="16"/>
                <w:szCs w:val="16"/>
                <w:lang w:val="zh-CN"/>
              </w:rPr>
              <w:t>25</w:t>
            </w:r>
          </w:p>
        </w:tc>
        <w:tc>
          <w:tcPr>
            <w:tcW w:w="1069" w:type="dxa"/>
            <w:gridSpan w:val="2"/>
            <w:vAlign w:val="center"/>
          </w:tcPr>
          <w:p>
            <w:pPr>
              <w:snapToGrid w:val="0"/>
              <w:spacing w:line="240" w:lineRule="auto"/>
              <w:jc w:val="center"/>
              <w:rPr>
                <w:b/>
                <w:sz w:val="16"/>
                <w:szCs w:val="16"/>
              </w:rPr>
            </w:pPr>
            <w:r>
              <w:rPr>
                <w:b/>
                <w:sz w:val="16"/>
                <w:szCs w:val="16"/>
              </w:rPr>
              <w:t>所占比例（%）</w:t>
            </w:r>
          </w:p>
        </w:tc>
        <w:tc>
          <w:tcPr>
            <w:tcW w:w="2598" w:type="dxa"/>
            <w:gridSpan w:val="2"/>
            <w:vAlign w:val="center"/>
          </w:tcPr>
          <w:p>
            <w:pPr>
              <w:snapToGrid w:val="0"/>
              <w:spacing w:line="240" w:lineRule="auto"/>
              <w:jc w:val="center"/>
              <w:rPr>
                <w:b/>
                <w:color w:val="000000"/>
                <w:sz w:val="16"/>
                <w:szCs w:val="16"/>
              </w:rPr>
            </w:pPr>
            <w:r>
              <w:rPr>
                <w:rFonts w:hint="eastAsia"/>
                <w:b/>
                <w:color w:val="000000"/>
                <w:sz w:val="16"/>
                <w:szCs w:val="16"/>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58" w:type="dxa"/>
            <w:vMerge w:val="continue"/>
            <w:vAlign w:val="center"/>
          </w:tcPr>
          <w:p>
            <w:pPr>
              <w:snapToGrid w:val="0"/>
              <w:spacing w:line="240" w:lineRule="auto"/>
              <w:jc w:val="center"/>
              <w:rPr>
                <w:b/>
                <w:sz w:val="16"/>
                <w:szCs w:val="16"/>
              </w:rPr>
            </w:pPr>
          </w:p>
        </w:tc>
        <w:tc>
          <w:tcPr>
            <w:tcW w:w="1849" w:type="dxa"/>
            <w:vAlign w:val="center"/>
          </w:tcPr>
          <w:p>
            <w:pPr>
              <w:snapToGrid w:val="0"/>
              <w:spacing w:line="240" w:lineRule="auto"/>
              <w:jc w:val="center"/>
              <w:rPr>
                <w:b/>
                <w:sz w:val="16"/>
                <w:szCs w:val="16"/>
              </w:rPr>
            </w:pPr>
            <w:r>
              <w:rPr>
                <w:b/>
                <w:sz w:val="16"/>
                <w:szCs w:val="16"/>
              </w:rPr>
              <w:t>环评审批部门</w:t>
            </w:r>
          </w:p>
        </w:tc>
        <w:tc>
          <w:tcPr>
            <w:tcW w:w="4648" w:type="dxa"/>
            <w:gridSpan w:val="9"/>
            <w:vAlign w:val="center"/>
          </w:tcPr>
          <w:p>
            <w:pPr>
              <w:snapToGrid w:val="0"/>
              <w:spacing w:line="240" w:lineRule="auto"/>
              <w:jc w:val="center"/>
              <w:rPr>
                <w:b/>
                <w:color w:val="000000"/>
                <w:sz w:val="16"/>
                <w:szCs w:val="16"/>
              </w:rPr>
            </w:pPr>
            <w:r>
              <w:rPr>
                <w:rFonts w:hint="eastAsia"/>
                <w:b/>
                <w:color w:val="000000"/>
                <w:sz w:val="16"/>
                <w:szCs w:val="16"/>
              </w:rPr>
              <w:t>新疆维吾尔自治区环境保护厅</w:t>
            </w:r>
          </w:p>
        </w:tc>
        <w:tc>
          <w:tcPr>
            <w:tcW w:w="1930" w:type="dxa"/>
            <w:vAlign w:val="center"/>
          </w:tcPr>
          <w:p>
            <w:pPr>
              <w:snapToGrid w:val="0"/>
              <w:spacing w:line="240" w:lineRule="auto"/>
              <w:jc w:val="center"/>
              <w:rPr>
                <w:b/>
                <w:sz w:val="16"/>
                <w:szCs w:val="16"/>
              </w:rPr>
            </w:pPr>
            <w:r>
              <w:rPr>
                <w:b/>
                <w:sz w:val="16"/>
                <w:szCs w:val="16"/>
              </w:rPr>
              <w:t>批准文号</w:t>
            </w:r>
          </w:p>
        </w:tc>
        <w:tc>
          <w:tcPr>
            <w:tcW w:w="1861" w:type="dxa"/>
            <w:gridSpan w:val="2"/>
            <w:vAlign w:val="center"/>
          </w:tcPr>
          <w:p>
            <w:pPr>
              <w:snapToGrid w:val="0"/>
              <w:spacing w:line="240" w:lineRule="auto"/>
              <w:jc w:val="center"/>
              <w:rPr>
                <w:b/>
                <w:color w:val="000000"/>
                <w:sz w:val="16"/>
                <w:szCs w:val="16"/>
              </w:rPr>
            </w:pPr>
            <w:r>
              <w:rPr>
                <w:rFonts w:hint="eastAsia"/>
                <w:b/>
                <w:color w:val="000000"/>
                <w:sz w:val="16"/>
                <w:szCs w:val="16"/>
              </w:rPr>
              <w:t>新环函【2016】1720号</w:t>
            </w:r>
          </w:p>
        </w:tc>
        <w:tc>
          <w:tcPr>
            <w:tcW w:w="1069" w:type="dxa"/>
            <w:gridSpan w:val="2"/>
            <w:vAlign w:val="center"/>
          </w:tcPr>
          <w:p>
            <w:pPr>
              <w:snapToGrid w:val="0"/>
              <w:spacing w:line="240" w:lineRule="auto"/>
              <w:jc w:val="center"/>
              <w:rPr>
                <w:b/>
                <w:sz w:val="16"/>
                <w:szCs w:val="16"/>
              </w:rPr>
            </w:pPr>
            <w:r>
              <w:rPr>
                <w:b/>
                <w:sz w:val="16"/>
                <w:szCs w:val="16"/>
              </w:rPr>
              <w:t>批准时间</w:t>
            </w:r>
          </w:p>
        </w:tc>
        <w:tc>
          <w:tcPr>
            <w:tcW w:w="2598" w:type="dxa"/>
            <w:gridSpan w:val="2"/>
            <w:vAlign w:val="center"/>
          </w:tcPr>
          <w:p>
            <w:pPr>
              <w:snapToGrid w:val="0"/>
              <w:spacing w:line="240" w:lineRule="auto"/>
              <w:jc w:val="center"/>
              <w:rPr>
                <w:b/>
                <w:color w:val="000000"/>
                <w:sz w:val="16"/>
                <w:szCs w:val="16"/>
              </w:rPr>
            </w:pPr>
            <w:r>
              <w:rPr>
                <w:rFonts w:hint="eastAsia"/>
                <w:b/>
                <w:color w:val="000000"/>
                <w:sz w:val="16"/>
                <w:szCs w:val="16"/>
              </w:rPr>
              <w:t>2016.11.22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58" w:type="dxa"/>
            <w:vMerge w:val="continue"/>
            <w:vAlign w:val="center"/>
          </w:tcPr>
          <w:p>
            <w:pPr>
              <w:snapToGrid w:val="0"/>
              <w:spacing w:line="240" w:lineRule="auto"/>
              <w:jc w:val="center"/>
              <w:rPr>
                <w:b/>
                <w:sz w:val="16"/>
                <w:szCs w:val="16"/>
              </w:rPr>
            </w:pPr>
          </w:p>
        </w:tc>
        <w:tc>
          <w:tcPr>
            <w:tcW w:w="1849" w:type="dxa"/>
            <w:vAlign w:val="center"/>
          </w:tcPr>
          <w:p>
            <w:pPr>
              <w:snapToGrid w:val="0"/>
              <w:spacing w:line="240" w:lineRule="auto"/>
              <w:jc w:val="center"/>
              <w:rPr>
                <w:b/>
                <w:sz w:val="16"/>
                <w:szCs w:val="16"/>
              </w:rPr>
            </w:pPr>
            <w:r>
              <w:rPr>
                <w:b/>
                <w:sz w:val="16"/>
                <w:szCs w:val="16"/>
              </w:rPr>
              <w:t>初步设计审批部门</w:t>
            </w:r>
          </w:p>
        </w:tc>
        <w:tc>
          <w:tcPr>
            <w:tcW w:w="4648" w:type="dxa"/>
            <w:gridSpan w:val="9"/>
            <w:vAlign w:val="center"/>
          </w:tcPr>
          <w:p>
            <w:pPr>
              <w:snapToGrid w:val="0"/>
              <w:spacing w:line="240" w:lineRule="auto"/>
              <w:jc w:val="center"/>
              <w:rPr>
                <w:sz w:val="16"/>
                <w:szCs w:val="16"/>
              </w:rPr>
            </w:pPr>
            <w:r>
              <w:rPr>
                <w:rFonts w:hint="eastAsia"/>
                <w:sz w:val="16"/>
                <w:szCs w:val="16"/>
              </w:rPr>
              <w:t>/</w:t>
            </w:r>
          </w:p>
        </w:tc>
        <w:tc>
          <w:tcPr>
            <w:tcW w:w="1930" w:type="dxa"/>
            <w:vAlign w:val="center"/>
          </w:tcPr>
          <w:p>
            <w:pPr>
              <w:snapToGrid w:val="0"/>
              <w:spacing w:line="240" w:lineRule="auto"/>
              <w:jc w:val="center"/>
              <w:rPr>
                <w:b/>
                <w:sz w:val="16"/>
                <w:szCs w:val="16"/>
              </w:rPr>
            </w:pPr>
            <w:r>
              <w:rPr>
                <w:b/>
                <w:sz w:val="16"/>
                <w:szCs w:val="16"/>
              </w:rPr>
              <w:t>批准文号</w:t>
            </w:r>
          </w:p>
        </w:tc>
        <w:tc>
          <w:tcPr>
            <w:tcW w:w="1861" w:type="dxa"/>
            <w:gridSpan w:val="2"/>
            <w:vAlign w:val="center"/>
          </w:tcPr>
          <w:p>
            <w:pPr>
              <w:snapToGrid w:val="0"/>
              <w:spacing w:line="240" w:lineRule="auto"/>
              <w:jc w:val="center"/>
              <w:rPr>
                <w:b/>
                <w:sz w:val="16"/>
                <w:szCs w:val="16"/>
              </w:rPr>
            </w:pPr>
            <w:r>
              <w:rPr>
                <w:rFonts w:hint="eastAsia"/>
                <w:b/>
                <w:sz w:val="16"/>
                <w:szCs w:val="16"/>
              </w:rPr>
              <w:t>/</w:t>
            </w:r>
          </w:p>
        </w:tc>
        <w:tc>
          <w:tcPr>
            <w:tcW w:w="1069" w:type="dxa"/>
            <w:gridSpan w:val="2"/>
            <w:vAlign w:val="center"/>
          </w:tcPr>
          <w:p>
            <w:pPr>
              <w:snapToGrid w:val="0"/>
              <w:spacing w:line="240" w:lineRule="auto"/>
              <w:jc w:val="center"/>
              <w:rPr>
                <w:b/>
                <w:sz w:val="16"/>
                <w:szCs w:val="16"/>
              </w:rPr>
            </w:pPr>
            <w:r>
              <w:rPr>
                <w:b/>
                <w:sz w:val="16"/>
                <w:szCs w:val="16"/>
              </w:rPr>
              <w:t>批准时间</w:t>
            </w:r>
          </w:p>
        </w:tc>
        <w:tc>
          <w:tcPr>
            <w:tcW w:w="2598" w:type="dxa"/>
            <w:gridSpan w:val="2"/>
            <w:vAlign w:val="center"/>
          </w:tcPr>
          <w:p>
            <w:pPr>
              <w:snapToGrid w:val="0"/>
              <w:spacing w:line="240" w:lineRule="auto"/>
              <w:jc w:val="center"/>
              <w:rPr>
                <w:b/>
                <w:sz w:val="16"/>
                <w:szCs w:val="16"/>
              </w:rPr>
            </w:pPr>
            <w:r>
              <w:rPr>
                <w:rFonts w:hint="eastAsia"/>
                <w:b/>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58" w:type="dxa"/>
            <w:vMerge w:val="continue"/>
            <w:vAlign w:val="center"/>
          </w:tcPr>
          <w:p>
            <w:pPr>
              <w:snapToGrid w:val="0"/>
              <w:spacing w:line="240" w:lineRule="auto"/>
              <w:jc w:val="center"/>
              <w:rPr>
                <w:b/>
                <w:sz w:val="16"/>
                <w:szCs w:val="16"/>
              </w:rPr>
            </w:pPr>
          </w:p>
        </w:tc>
        <w:tc>
          <w:tcPr>
            <w:tcW w:w="1849" w:type="dxa"/>
            <w:vAlign w:val="center"/>
          </w:tcPr>
          <w:p>
            <w:pPr>
              <w:snapToGrid w:val="0"/>
              <w:spacing w:line="240" w:lineRule="auto"/>
              <w:jc w:val="center"/>
              <w:rPr>
                <w:b/>
                <w:sz w:val="16"/>
                <w:szCs w:val="16"/>
              </w:rPr>
            </w:pPr>
            <w:r>
              <w:rPr>
                <w:b/>
                <w:sz w:val="16"/>
                <w:szCs w:val="16"/>
              </w:rPr>
              <w:t>环保验收审批部门</w:t>
            </w:r>
          </w:p>
        </w:tc>
        <w:tc>
          <w:tcPr>
            <w:tcW w:w="4648" w:type="dxa"/>
            <w:gridSpan w:val="9"/>
            <w:vAlign w:val="center"/>
          </w:tcPr>
          <w:p>
            <w:pPr>
              <w:snapToGrid w:val="0"/>
              <w:spacing w:line="240" w:lineRule="auto"/>
              <w:jc w:val="center"/>
              <w:rPr>
                <w:b/>
                <w:bCs/>
                <w:sz w:val="16"/>
                <w:szCs w:val="16"/>
              </w:rPr>
            </w:pPr>
            <w:r>
              <w:rPr>
                <w:rFonts w:hint="eastAsia"/>
                <w:sz w:val="16"/>
                <w:szCs w:val="16"/>
              </w:rPr>
              <w:t>/</w:t>
            </w:r>
          </w:p>
        </w:tc>
        <w:tc>
          <w:tcPr>
            <w:tcW w:w="1930" w:type="dxa"/>
            <w:vAlign w:val="center"/>
          </w:tcPr>
          <w:p>
            <w:pPr>
              <w:snapToGrid w:val="0"/>
              <w:spacing w:line="240" w:lineRule="auto"/>
              <w:jc w:val="center"/>
              <w:rPr>
                <w:b/>
                <w:sz w:val="16"/>
                <w:szCs w:val="16"/>
              </w:rPr>
            </w:pPr>
            <w:r>
              <w:rPr>
                <w:b/>
                <w:sz w:val="16"/>
                <w:szCs w:val="16"/>
              </w:rPr>
              <w:t>批准文号</w:t>
            </w:r>
          </w:p>
        </w:tc>
        <w:tc>
          <w:tcPr>
            <w:tcW w:w="1861" w:type="dxa"/>
            <w:gridSpan w:val="2"/>
            <w:vAlign w:val="center"/>
          </w:tcPr>
          <w:p>
            <w:pPr>
              <w:snapToGrid w:val="0"/>
              <w:spacing w:line="240" w:lineRule="auto"/>
              <w:jc w:val="center"/>
              <w:rPr>
                <w:sz w:val="16"/>
                <w:szCs w:val="16"/>
              </w:rPr>
            </w:pPr>
            <w:r>
              <w:rPr>
                <w:rFonts w:hint="eastAsia"/>
                <w:sz w:val="16"/>
                <w:szCs w:val="16"/>
              </w:rPr>
              <w:t>/</w:t>
            </w:r>
          </w:p>
        </w:tc>
        <w:tc>
          <w:tcPr>
            <w:tcW w:w="1069" w:type="dxa"/>
            <w:gridSpan w:val="2"/>
            <w:vAlign w:val="center"/>
          </w:tcPr>
          <w:p>
            <w:pPr>
              <w:snapToGrid w:val="0"/>
              <w:spacing w:line="240" w:lineRule="auto"/>
              <w:jc w:val="center"/>
              <w:rPr>
                <w:b/>
                <w:sz w:val="16"/>
                <w:szCs w:val="16"/>
              </w:rPr>
            </w:pPr>
            <w:r>
              <w:rPr>
                <w:b/>
                <w:sz w:val="16"/>
                <w:szCs w:val="16"/>
              </w:rPr>
              <w:t>批准时间</w:t>
            </w:r>
          </w:p>
        </w:tc>
        <w:tc>
          <w:tcPr>
            <w:tcW w:w="2598" w:type="dxa"/>
            <w:gridSpan w:val="2"/>
            <w:vAlign w:val="center"/>
          </w:tcPr>
          <w:p>
            <w:pPr>
              <w:snapToGrid w:val="0"/>
              <w:spacing w:line="240" w:lineRule="auto"/>
              <w:jc w:val="center"/>
              <w:rPr>
                <w:sz w:val="16"/>
                <w:szCs w:val="16"/>
              </w:rPr>
            </w:pPr>
            <w:r>
              <w:rPr>
                <w:rFonts w:hint="eastAsia"/>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58" w:type="dxa"/>
            <w:vMerge w:val="continue"/>
            <w:vAlign w:val="center"/>
          </w:tcPr>
          <w:p>
            <w:pPr>
              <w:snapToGrid w:val="0"/>
              <w:spacing w:line="240" w:lineRule="auto"/>
              <w:jc w:val="center"/>
              <w:rPr>
                <w:b/>
                <w:sz w:val="16"/>
                <w:szCs w:val="16"/>
              </w:rPr>
            </w:pPr>
          </w:p>
        </w:tc>
        <w:tc>
          <w:tcPr>
            <w:tcW w:w="1849" w:type="dxa"/>
            <w:vAlign w:val="center"/>
          </w:tcPr>
          <w:p>
            <w:pPr>
              <w:snapToGrid w:val="0"/>
              <w:spacing w:line="240" w:lineRule="auto"/>
              <w:jc w:val="center"/>
              <w:rPr>
                <w:b/>
                <w:color w:val="000000"/>
                <w:sz w:val="16"/>
                <w:szCs w:val="16"/>
              </w:rPr>
            </w:pPr>
            <w:r>
              <w:rPr>
                <w:b/>
                <w:color w:val="000000"/>
                <w:sz w:val="16"/>
                <w:szCs w:val="16"/>
              </w:rPr>
              <w:t>环保设施设计单位</w:t>
            </w:r>
          </w:p>
        </w:tc>
        <w:tc>
          <w:tcPr>
            <w:tcW w:w="2961" w:type="dxa"/>
            <w:gridSpan w:val="5"/>
            <w:vAlign w:val="center"/>
          </w:tcPr>
          <w:p>
            <w:pPr>
              <w:snapToGrid w:val="0"/>
              <w:spacing w:line="240" w:lineRule="auto"/>
              <w:jc w:val="center"/>
              <w:rPr>
                <w:b/>
                <w:color w:val="000000"/>
                <w:sz w:val="16"/>
                <w:szCs w:val="16"/>
              </w:rPr>
            </w:pPr>
            <w:r>
              <w:rPr>
                <w:rFonts w:hint="eastAsia"/>
                <w:b/>
                <w:color w:val="000000"/>
                <w:sz w:val="16"/>
                <w:szCs w:val="16"/>
              </w:rPr>
              <w:t>吐哈油田勘察设计院</w:t>
            </w:r>
          </w:p>
        </w:tc>
        <w:tc>
          <w:tcPr>
            <w:tcW w:w="1687" w:type="dxa"/>
            <w:gridSpan w:val="4"/>
            <w:vAlign w:val="center"/>
          </w:tcPr>
          <w:p>
            <w:pPr>
              <w:snapToGrid w:val="0"/>
              <w:spacing w:line="240" w:lineRule="auto"/>
              <w:jc w:val="center"/>
              <w:rPr>
                <w:b/>
                <w:sz w:val="16"/>
                <w:szCs w:val="16"/>
              </w:rPr>
            </w:pPr>
            <w:r>
              <w:rPr>
                <w:b/>
                <w:sz w:val="16"/>
                <w:szCs w:val="16"/>
              </w:rPr>
              <w:t>环保设施施工单位</w:t>
            </w:r>
          </w:p>
        </w:tc>
        <w:tc>
          <w:tcPr>
            <w:tcW w:w="1930" w:type="dxa"/>
            <w:vAlign w:val="center"/>
          </w:tcPr>
          <w:p>
            <w:pPr>
              <w:snapToGrid w:val="0"/>
              <w:spacing w:line="240" w:lineRule="auto"/>
              <w:jc w:val="center"/>
              <w:rPr>
                <w:b/>
                <w:sz w:val="16"/>
                <w:szCs w:val="16"/>
              </w:rPr>
            </w:pPr>
            <w:r>
              <w:rPr>
                <w:rFonts w:hint="eastAsia"/>
                <w:b/>
                <w:color w:val="000000"/>
                <w:sz w:val="16"/>
                <w:szCs w:val="16"/>
              </w:rPr>
              <w:t>/</w:t>
            </w:r>
          </w:p>
        </w:tc>
        <w:tc>
          <w:tcPr>
            <w:tcW w:w="1861" w:type="dxa"/>
            <w:gridSpan w:val="2"/>
            <w:vAlign w:val="center"/>
          </w:tcPr>
          <w:p>
            <w:pPr>
              <w:snapToGrid w:val="0"/>
              <w:spacing w:line="240" w:lineRule="auto"/>
              <w:jc w:val="center"/>
              <w:rPr>
                <w:b/>
                <w:sz w:val="16"/>
                <w:szCs w:val="16"/>
              </w:rPr>
            </w:pPr>
            <w:r>
              <w:rPr>
                <w:b/>
                <w:sz w:val="16"/>
                <w:szCs w:val="16"/>
              </w:rPr>
              <w:t>环保设施监测单位</w:t>
            </w:r>
          </w:p>
        </w:tc>
        <w:tc>
          <w:tcPr>
            <w:tcW w:w="3667" w:type="dxa"/>
            <w:gridSpan w:val="4"/>
            <w:vAlign w:val="center"/>
          </w:tcPr>
          <w:p>
            <w:pPr>
              <w:snapToGrid w:val="0"/>
              <w:spacing w:line="240" w:lineRule="auto"/>
              <w:jc w:val="center"/>
              <w:rPr>
                <w:b/>
                <w:color w:val="000000"/>
                <w:sz w:val="16"/>
                <w:szCs w:val="16"/>
              </w:rPr>
            </w:pPr>
            <w:r>
              <w:rPr>
                <w:b/>
                <w:color w:val="000000"/>
                <w:sz w:val="16"/>
                <w:szCs w:val="16"/>
              </w:rPr>
              <w:t>新疆水清清环境监测技术服务有限公司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58" w:type="dxa"/>
            <w:vMerge w:val="continue"/>
            <w:vAlign w:val="center"/>
          </w:tcPr>
          <w:p>
            <w:pPr>
              <w:snapToGrid w:val="0"/>
              <w:spacing w:line="240" w:lineRule="auto"/>
              <w:jc w:val="center"/>
              <w:rPr>
                <w:b/>
                <w:sz w:val="16"/>
                <w:szCs w:val="16"/>
              </w:rPr>
            </w:pPr>
          </w:p>
        </w:tc>
        <w:tc>
          <w:tcPr>
            <w:tcW w:w="1849" w:type="dxa"/>
            <w:vAlign w:val="center"/>
          </w:tcPr>
          <w:p>
            <w:pPr>
              <w:snapToGrid w:val="0"/>
              <w:spacing w:line="240" w:lineRule="auto"/>
              <w:jc w:val="center"/>
              <w:rPr>
                <w:b/>
                <w:color w:val="000000"/>
                <w:sz w:val="16"/>
                <w:szCs w:val="16"/>
              </w:rPr>
            </w:pPr>
            <w:r>
              <w:rPr>
                <w:b/>
                <w:color w:val="000000"/>
                <w:sz w:val="16"/>
                <w:szCs w:val="16"/>
              </w:rPr>
              <w:t>实际总投资（万元）</w:t>
            </w:r>
          </w:p>
        </w:tc>
        <w:tc>
          <w:tcPr>
            <w:tcW w:w="4648" w:type="dxa"/>
            <w:gridSpan w:val="9"/>
            <w:vAlign w:val="center"/>
          </w:tcPr>
          <w:p>
            <w:pPr>
              <w:snapToGrid w:val="0"/>
              <w:spacing w:line="240" w:lineRule="auto"/>
              <w:jc w:val="center"/>
              <w:rPr>
                <w:b/>
                <w:color w:val="000000"/>
                <w:sz w:val="16"/>
                <w:szCs w:val="16"/>
              </w:rPr>
            </w:pPr>
            <w:r>
              <w:rPr>
                <w:rFonts w:hint="eastAsia"/>
                <w:b/>
                <w:color w:val="000000"/>
                <w:sz w:val="16"/>
                <w:szCs w:val="16"/>
              </w:rPr>
              <w:t>2623.16</w:t>
            </w:r>
          </w:p>
        </w:tc>
        <w:tc>
          <w:tcPr>
            <w:tcW w:w="1930" w:type="dxa"/>
            <w:vAlign w:val="center"/>
          </w:tcPr>
          <w:p>
            <w:pPr>
              <w:snapToGrid w:val="0"/>
              <w:spacing w:line="240" w:lineRule="auto"/>
              <w:jc w:val="center"/>
              <w:rPr>
                <w:b/>
                <w:color w:val="000000"/>
                <w:sz w:val="16"/>
                <w:szCs w:val="16"/>
              </w:rPr>
            </w:pPr>
            <w:r>
              <w:rPr>
                <w:b/>
                <w:color w:val="000000"/>
                <w:sz w:val="16"/>
                <w:szCs w:val="16"/>
              </w:rPr>
              <w:t>实际环保投资</w:t>
            </w:r>
          </w:p>
          <w:p>
            <w:pPr>
              <w:snapToGrid w:val="0"/>
              <w:spacing w:line="240" w:lineRule="auto"/>
              <w:jc w:val="center"/>
              <w:rPr>
                <w:b/>
                <w:color w:val="000000"/>
                <w:sz w:val="16"/>
                <w:szCs w:val="16"/>
              </w:rPr>
            </w:pPr>
            <w:r>
              <w:rPr>
                <w:b/>
                <w:color w:val="000000"/>
                <w:sz w:val="16"/>
                <w:szCs w:val="16"/>
              </w:rPr>
              <w:t>（万元）</w:t>
            </w:r>
          </w:p>
        </w:tc>
        <w:tc>
          <w:tcPr>
            <w:tcW w:w="1861" w:type="dxa"/>
            <w:gridSpan w:val="2"/>
            <w:vAlign w:val="center"/>
          </w:tcPr>
          <w:p>
            <w:pPr>
              <w:snapToGrid w:val="0"/>
              <w:spacing w:line="240" w:lineRule="auto"/>
              <w:jc w:val="center"/>
              <w:rPr>
                <w:b/>
                <w:color w:val="000000"/>
                <w:sz w:val="16"/>
                <w:szCs w:val="16"/>
              </w:rPr>
            </w:pPr>
            <w:r>
              <w:rPr>
                <w:rFonts w:hint="eastAsia"/>
                <w:b/>
                <w:color w:val="000000"/>
                <w:sz w:val="16"/>
                <w:szCs w:val="16"/>
                <w:lang w:val="zh-CN"/>
              </w:rPr>
              <w:t>25</w:t>
            </w:r>
          </w:p>
        </w:tc>
        <w:tc>
          <w:tcPr>
            <w:tcW w:w="990" w:type="dxa"/>
            <w:vAlign w:val="center"/>
          </w:tcPr>
          <w:p>
            <w:pPr>
              <w:snapToGrid w:val="0"/>
              <w:spacing w:line="240" w:lineRule="auto"/>
              <w:jc w:val="center"/>
              <w:rPr>
                <w:b/>
                <w:color w:val="000000"/>
                <w:sz w:val="16"/>
                <w:szCs w:val="16"/>
              </w:rPr>
            </w:pPr>
            <w:r>
              <w:rPr>
                <w:b/>
                <w:color w:val="000000"/>
                <w:sz w:val="16"/>
                <w:szCs w:val="16"/>
              </w:rPr>
              <w:t>所占比例（%）</w:t>
            </w:r>
          </w:p>
        </w:tc>
        <w:tc>
          <w:tcPr>
            <w:tcW w:w="2677" w:type="dxa"/>
            <w:gridSpan w:val="3"/>
            <w:vAlign w:val="center"/>
          </w:tcPr>
          <w:p>
            <w:pPr>
              <w:snapToGrid w:val="0"/>
              <w:spacing w:line="240" w:lineRule="auto"/>
              <w:jc w:val="center"/>
              <w:rPr>
                <w:b/>
                <w:color w:val="000000"/>
                <w:sz w:val="16"/>
                <w:szCs w:val="16"/>
              </w:rPr>
            </w:pPr>
            <w:r>
              <w:rPr>
                <w:rFonts w:hint="eastAsia"/>
                <w:b/>
                <w:color w:val="000000"/>
                <w:sz w:val="16"/>
                <w:szCs w:val="16"/>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58" w:type="dxa"/>
            <w:vMerge w:val="continue"/>
            <w:vAlign w:val="center"/>
          </w:tcPr>
          <w:p>
            <w:pPr>
              <w:snapToGrid w:val="0"/>
              <w:spacing w:line="240" w:lineRule="auto"/>
              <w:jc w:val="center"/>
              <w:rPr>
                <w:b/>
                <w:sz w:val="16"/>
                <w:szCs w:val="16"/>
                <w:highlight w:val="yellow"/>
              </w:rPr>
            </w:pPr>
          </w:p>
        </w:tc>
        <w:tc>
          <w:tcPr>
            <w:tcW w:w="1849" w:type="dxa"/>
            <w:vAlign w:val="center"/>
          </w:tcPr>
          <w:p>
            <w:pPr>
              <w:snapToGrid w:val="0"/>
              <w:spacing w:line="240" w:lineRule="auto"/>
              <w:jc w:val="center"/>
              <w:rPr>
                <w:b/>
                <w:color w:val="000000"/>
                <w:sz w:val="16"/>
                <w:szCs w:val="16"/>
              </w:rPr>
            </w:pPr>
            <w:r>
              <w:rPr>
                <w:b/>
                <w:color w:val="000000"/>
                <w:sz w:val="16"/>
                <w:szCs w:val="16"/>
              </w:rPr>
              <w:t>废水治理（万元）</w:t>
            </w:r>
          </w:p>
        </w:tc>
        <w:tc>
          <w:tcPr>
            <w:tcW w:w="849" w:type="dxa"/>
            <w:vAlign w:val="center"/>
          </w:tcPr>
          <w:p>
            <w:pPr>
              <w:snapToGrid w:val="0"/>
              <w:spacing w:line="240" w:lineRule="auto"/>
              <w:jc w:val="center"/>
              <w:rPr>
                <w:rFonts w:hint="eastAsia" w:eastAsia="宋体"/>
                <w:b/>
                <w:color w:val="000000"/>
                <w:sz w:val="16"/>
                <w:szCs w:val="16"/>
                <w:lang w:eastAsia="zh-CN"/>
              </w:rPr>
            </w:pPr>
            <w:r>
              <w:rPr>
                <w:rFonts w:hint="eastAsia"/>
                <w:b/>
                <w:color w:val="000000"/>
                <w:sz w:val="16"/>
                <w:szCs w:val="16"/>
                <w:lang w:val="en-US" w:eastAsia="zh-CN"/>
              </w:rPr>
              <w:t>18</w:t>
            </w:r>
          </w:p>
        </w:tc>
        <w:tc>
          <w:tcPr>
            <w:tcW w:w="1020" w:type="dxa"/>
            <w:gridSpan w:val="2"/>
            <w:vAlign w:val="center"/>
          </w:tcPr>
          <w:p>
            <w:pPr>
              <w:snapToGrid w:val="0"/>
              <w:spacing w:line="240" w:lineRule="auto"/>
              <w:jc w:val="center"/>
              <w:rPr>
                <w:b/>
                <w:color w:val="000000"/>
                <w:sz w:val="16"/>
                <w:szCs w:val="16"/>
              </w:rPr>
            </w:pPr>
            <w:r>
              <w:rPr>
                <w:b/>
                <w:color w:val="000000"/>
                <w:sz w:val="16"/>
                <w:szCs w:val="16"/>
              </w:rPr>
              <w:t>废气治理</w:t>
            </w:r>
          </w:p>
          <w:p>
            <w:pPr>
              <w:snapToGrid w:val="0"/>
              <w:spacing w:line="240" w:lineRule="auto"/>
              <w:jc w:val="center"/>
              <w:rPr>
                <w:b/>
                <w:color w:val="000000"/>
                <w:sz w:val="16"/>
                <w:szCs w:val="16"/>
              </w:rPr>
            </w:pPr>
            <w:r>
              <w:rPr>
                <w:b/>
                <w:color w:val="000000"/>
                <w:sz w:val="16"/>
                <w:szCs w:val="16"/>
              </w:rPr>
              <w:t>（万元）</w:t>
            </w:r>
          </w:p>
        </w:tc>
        <w:tc>
          <w:tcPr>
            <w:tcW w:w="802" w:type="dxa"/>
            <w:vAlign w:val="center"/>
          </w:tcPr>
          <w:p>
            <w:pPr>
              <w:snapToGrid w:val="0"/>
              <w:spacing w:line="240" w:lineRule="auto"/>
              <w:jc w:val="center"/>
              <w:rPr>
                <w:b/>
                <w:color w:val="000000"/>
                <w:sz w:val="16"/>
                <w:szCs w:val="16"/>
              </w:rPr>
            </w:pPr>
            <w:r>
              <w:rPr>
                <w:rFonts w:hint="eastAsia"/>
                <w:b/>
                <w:color w:val="000000"/>
                <w:sz w:val="16"/>
                <w:szCs w:val="16"/>
              </w:rPr>
              <w:t>2</w:t>
            </w:r>
          </w:p>
        </w:tc>
        <w:tc>
          <w:tcPr>
            <w:tcW w:w="920" w:type="dxa"/>
            <w:gridSpan w:val="4"/>
            <w:vAlign w:val="center"/>
          </w:tcPr>
          <w:p>
            <w:pPr>
              <w:snapToGrid w:val="0"/>
              <w:spacing w:line="240" w:lineRule="auto"/>
              <w:jc w:val="center"/>
              <w:rPr>
                <w:b/>
                <w:color w:val="000000"/>
                <w:sz w:val="16"/>
                <w:szCs w:val="16"/>
              </w:rPr>
            </w:pPr>
            <w:r>
              <w:rPr>
                <w:b/>
                <w:color w:val="000000"/>
                <w:sz w:val="16"/>
                <w:szCs w:val="16"/>
              </w:rPr>
              <w:t>噪声治理</w:t>
            </w:r>
          </w:p>
          <w:p>
            <w:pPr>
              <w:snapToGrid w:val="0"/>
              <w:spacing w:line="240" w:lineRule="auto"/>
              <w:jc w:val="center"/>
              <w:rPr>
                <w:b/>
                <w:color w:val="000000"/>
                <w:sz w:val="16"/>
                <w:szCs w:val="16"/>
              </w:rPr>
            </w:pPr>
            <w:r>
              <w:rPr>
                <w:b/>
                <w:color w:val="000000"/>
                <w:sz w:val="16"/>
                <w:szCs w:val="16"/>
              </w:rPr>
              <w:t>（万元）</w:t>
            </w:r>
          </w:p>
        </w:tc>
        <w:tc>
          <w:tcPr>
            <w:tcW w:w="1057" w:type="dxa"/>
            <w:vAlign w:val="center"/>
          </w:tcPr>
          <w:p>
            <w:pPr>
              <w:snapToGrid w:val="0"/>
              <w:spacing w:line="240" w:lineRule="auto"/>
              <w:jc w:val="center"/>
              <w:rPr>
                <w:b/>
                <w:color w:val="000000"/>
                <w:sz w:val="16"/>
                <w:szCs w:val="16"/>
              </w:rPr>
            </w:pPr>
            <w:r>
              <w:rPr>
                <w:rFonts w:hint="eastAsia"/>
                <w:b/>
                <w:color w:val="000000"/>
                <w:sz w:val="16"/>
                <w:szCs w:val="16"/>
              </w:rPr>
              <w:t>3</w:t>
            </w:r>
          </w:p>
        </w:tc>
        <w:tc>
          <w:tcPr>
            <w:tcW w:w="1930" w:type="dxa"/>
            <w:vAlign w:val="center"/>
          </w:tcPr>
          <w:p>
            <w:pPr>
              <w:snapToGrid w:val="0"/>
              <w:spacing w:line="240" w:lineRule="auto"/>
              <w:jc w:val="center"/>
              <w:rPr>
                <w:b/>
                <w:color w:val="000000"/>
                <w:sz w:val="16"/>
                <w:szCs w:val="16"/>
              </w:rPr>
            </w:pPr>
            <w:r>
              <w:rPr>
                <w:b/>
                <w:color w:val="000000"/>
                <w:sz w:val="16"/>
                <w:szCs w:val="16"/>
              </w:rPr>
              <w:t>固废治理（万元）</w:t>
            </w:r>
          </w:p>
        </w:tc>
        <w:tc>
          <w:tcPr>
            <w:tcW w:w="796" w:type="dxa"/>
            <w:vAlign w:val="center"/>
          </w:tcPr>
          <w:p>
            <w:pPr>
              <w:snapToGrid w:val="0"/>
              <w:spacing w:line="240" w:lineRule="auto"/>
              <w:jc w:val="center"/>
              <w:rPr>
                <w:rFonts w:hint="eastAsia" w:eastAsia="宋体"/>
                <w:b/>
                <w:color w:val="000000"/>
                <w:sz w:val="16"/>
                <w:szCs w:val="16"/>
                <w:lang w:eastAsia="zh-CN"/>
              </w:rPr>
            </w:pPr>
            <w:r>
              <w:rPr>
                <w:rFonts w:hint="eastAsia"/>
                <w:b/>
                <w:color w:val="000000"/>
                <w:sz w:val="16"/>
                <w:szCs w:val="16"/>
                <w:lang w:val="en-US" w:eastAsia="zh-CN"/>
              </w:rPr>
              <w:t>2</w:t>
            </w:r>
          </w:p>
        </w:tc>
        <w:tc>
          <w:tcPr>
            <w:tcW w:w="1065" w:type="dxa"/>
            <w:vAlign w:val="center"/>
          </w:tcPr>
          <w:p>
            <w:pPr>
              <w:snapToGrid w:val="0"/>
              <w:spacing w:line="240" w:lineRule="auto"/>
              <w:jc w:val="center"/>
              <w:rPr>
                <w:b/>
                <w:color w:val="000000"/>
                <w:sz w:val="16"/>
                <w:szCs w:val="16"/>
              </w:rPr>
            </w:pPr>
            <w:r>
              <w:rPr>
                <w:b/>
                <w:color w:val="000000"/>
                <w:sz w:val="16"/>
                <w:szCs w:val="16"/>
              </w:rPr>
              <w:t>绿化及生态(万元）</w:t>
            </w:r>
          </w:p>
        </w:tc>
        <w:tc>
          <w:tcPr>
            <w:tcW w:w="990" w:type="dxa"/>
            <w:vAlign w:val="center"/>
          </w:tcPr>
          <w:p>
            <w:pPr>
              <w:snapToGrid w:val="0"/>
              <w:spacing w:line="240" w:lineRule="auto"/>
              <w:jc w:val="center"/>
              <w:rPr>
                <w:rFonts w:hint="eastAsia" w:eastAsia="宋体"/>
                <w:b/>
                <w:color w:val="000000"/>
                <w:sz w:val="16"/>
                <w:szCs w:val="16"/>
                <w:lang w:eastAsia="zh-CN"/>
              </w:rPr>
            </w:pPr>
            <w:r>
              <w:rPr>
                <w:rFonts w:hint="eastAsia"/>
                <w:b/>
                <w:color w:val="000000"/>
                <w:sz w:val="16"/>
                <w:szCs w:val="16"/>
                <w:lang w:val="en-US" w:eastAsia="zh-CN"/>
              </w:rPr>
              <w:t>/</w:t>
            </w:r>
          </w:p>
        </w:tc>
        <w:tc>
          <w:tcPr>
            <w:tcW w:w="1223" w:type="dxa"/>
            <w:gridSpan w:val="2"/>
            <w:vAlign w:val="center"/>
          </w:tcPr>
          <w:p>
            <w:pPr>
              <w:snapToGrid w:val="0"/>
              <w:spacing w:line="240" w:lineRule="auto"/>
              <w:jc w:val="center"/>
              <w:rPr>
                <w:b/>
                <w:color w:val="000000"/>
                <w:sz w:val="16"/>
                <w:szCs w:val="16"/>
              </w:rPr>
            </w:pPr>
            <w:r>
              <w:rPr>
                <w:b/>
                <w:color w:val="000000"/>
                <w:sz w:val="16"/>
                <w:szCs w:val="16"/>
              </w:rPr>
              <w:t>其它</w:t>
            </w:r>
          </w:p>
          <w:p>
            <w:pPr>
              <w:snapToGrid w:val="0"/>
              <w:spacing w:line="240" w:lineRule="auto"/>
              <w:jc w:val="center"/>
              <w:rPr>
                <w:b/>
                <w:color w:val="000000"/>
                <w:sz w:val="16"/>
                <w:szCs w:val="16"/>
              </w:rPr>
            </w:pPr>
            <w:r>
              <w:rPr>
                <w:b/>
                <w:color w:val="000000"/>
                <w:sz w:val="16"/>
                <w:szCs w:val="16"/>
              </w:rPr>
              <w:t>（万元）</w:t>
            </w:r>
          </w:p>
        </w:tc>
        <w:tc>
          <w:tcPr>
            <w:tcW w:w="1454" w:type="dxa"/>
            <w:vAlign w:val="center"/>
          </w:tcPr>
          <w:p>
            <w:pPr>
              <w:snapToGrid w:val="0"/>
              <w:spacing w:line="240" w:lineRule="auto"/>
              <w:jc w:val="center"/>
              <w:rPr>
                <w:b/>
                <w:color w:val="000000"/>
                <w:sz w:val="16"/>
                <w:szCs w:val="16"/>
              </w:rPr>
            </w:pPr>
            <w:r>
              <w:rPr>
                <w:rFonts w:hint="eastAsia"/>
                <w:b/>
                <w:color w:val="000000"/>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658" w:type="dxa"/>
            <w:vMerge w:val="continue"/>
            <w:vAlign w:val="center"/>
          </w:tcPr>
          <w:p>
            <w:pPr>
              <w:snapToGrid w:val="0"/>
              <w:spacing w:line="240" w:lineRule="auto"/>
              <w:jc w:val="center"/>
              <w:rPr>
                <w:b/>
                <w:sz w:val="16"/>
                <w:szCs w:val="16"/>
                <w:highlight w:val="yellow"/>
              </w:rPr>
            </w:pPr>
          </w:p>
        </w:tc>
        <w:tc>
          <w:tcPr>
            <w:tcW w:w="1849" w:type="dxa"/>
            <w:vAlign w:val="center"/>
          </w:tcPr>
          <w:p>
            <w:pPr>
              <w:snapToGrid w:val="0"/>
              <w:spacing w:line="240" w:lineRule="auto"/>
              <w:jc w:val="center"/>
              <w:rPr>
                <w:b/>
                <w:color w:val="000000"/>
                <w:sz w:val="16"/>
                <w:szCs w:val="16"/>
              </w:rPr>
            </w:pPr>
            <w:r>
              <w:rPr>
                <w:b/>
                <w:color w:val="000000"/>
                <w:sz w:val="16"/>
                <w:szCs w:val="16"/>
              </w:rPr>
              <w:t>新增废水处理设施能力</w:t>
            </w:r>
          </w:p>
        </w:tc>
        <w:tc>
          <w:tcPr>
            <w:tcW w:w="4648" w:type="dxa"/>
            <w:gridSpan w:val="9"/>
            <w:vAlign w:val="center"/>
          </w:tcPr>
          <w:p>
            <w:pPr>
              <w:snapToGrid w:val="0"/>
              <w:spacing w:line="240" w:lineRule="auto"/>
              <w:jc w:val="center"/>
              <w:rPr>
                <w:b/>
                <w:color w:val="000000"/>
                <w:sz w:val="16"/>
                <w:szCs w:val="16"/>
              </w:rPr>
            </w:pPr>
            <w:r>
              <w:rPr>
                <w:rFonts w:hint="eastAsia"/>
                <w:b/>
                <w:color w:val="000000"/>
                <w:sz w:val="16"/>
                <w:szCs w:val="16"/>
              </w:rPr>
              <w:t>2000</w:t>
            </w:r>
            <w:r>
              <w:rPr>
                <w:b/>
                <w:color w:val="000000"/>
                <w:sz w:val="16"/>
                <w:szCs w:val="16"/>
              </w:rPr>
              <w:t>/ t/d</w:t>
            </w:r>
          </w:p>
        </w:tc>
        <w:tc>
          <w:tcPr>
            <w:tcW w:w="1930" w:type="dxa"/>
            <w:vAlign w:val="center"/>
          </w:tcPr>
          <w:p>
            <w:pPr>
              <w:snapToGrid w:val="0"/>
              <w:spacing w:line="240" w:lineRule="auto"/>
              <w:jc w:val="center"/>
              <w:rPr>
                <w:b/>
                <w:color w:val="000000"/>
                <w:sz w:val="16"/>
                <w:szCs w:val="16"/>
              </w:rPr>
            </w:pPr>
            <w:r>
              <w:rPr>
                <w:b/>
                <w:color w:val="000000"/>
                <w:sz w:val="16"/>
                <w:szCs w:val="16"/>
              </w:rPr>
              <w:t>新增废气处理设施</w:t>
            </w:r>
          </w:p>
          <w:p>
            <w:pPr>
              <w:snapToGrid w:val="0"/>
              <w:spacing w:line="240" w:lineRule="auto"/>
              <w:jc w:val="center"/>
              <w:rPr>
                <w:b/>
                <w:color w:val="000000"/>
                <w:sz w:val="16"/>
                <w:szCs w:val="16"/>
              </w:rPr>
            </w:pPr>
            <w:r>
              <w:rPr>
                <w:b/>
                <w:color w:val="000000"/>
                <w:sz w:val="16"/>
                <w:szCs w:val="16"/>
              </w:rPr>
              <w:t>能力</w:t>
            </w:r>
          </w:p>
        </w:tc>
        <w:tc>
          <w:tcPr>
            <w:tcW w:w="1861" w:type="dxa"/>
            <w:gridSpan w:val="2"/>
            <w:vAlign w:val="center"/>
          </w:tcPr>
          <w:p>
            <w:pPr>
              <w:snapToGrid w:val="0"/>
              <w:spacing w:line="240" w:lineRule="auto"/>
              <w:jc w:val="center"/>
              <w:rPr>
                <w:b/>
                <w:color w:val="000000"/>
                <w:sz w:val="16"/>
                <w:szCs w:val="16"/>
              </w:rPr>
            </w:pPr>
            <w:r>
              <w:rPr>
                <w:b/>
                <w:color w:val="000000"/>
                <w:sz w:val="16"/>
                <w:szCs w:val="16"/>
              </w:rPr>
              <w:t>/</w:t>
            </w:r>
          </w:p>
        </w:tc>
        <w:tc>
          <w:tcPr>
            <w:tcW w:w="990" w:type="dxa"/>
            <w:vAlign w:val="center"/>
          </w:tcPr>
          <w:p>
            <w:pPr>
              <w:snapToGrid w:val="0"/>
              <w:spacing w:line="240" w:lineRule="auto"/>
              <w:jc w:val="center"/>
              <w:rPr>
                <w:b/>
                <w:color w:val="000000"/>
                <w:sz w:val="16"/>
                <w:szCs w:val="16"/>
              </w:rPr>
            </w:pPr>
            <w:r>
              <w:rPr>
                <w:b/>
                <w:color w:val="000000"/>
                <w:sz w:val="16"/>
                <w:szCs w:val="16"/>
              </w:rPr>
              <w:t>年平均</w:t>
            </w:r>
          </w:p>
          <w:p>
            <w:pPr>
              <w:snapToGrid w:val="0"/>
              <w:spacing w:line="240" w:lineRule="auto"/>
              <w:jc w:val="center"/>
              <w:rPr>
                <w:b/>
                <w:color w:val="000000"/>
                <w:sz w:val="16"/>
                <w:szCs w:val="16"/>
              </w:rPr>
            </w:pPr>
            <w:r>
              <w:rPr>
                <w:b/>
                <w:color w:val="000000"/>
                <w:sz w:val="16"/>
                <w:szCs w:val="16"/>
              </w:rPr>
              <w:t>工作时</w:t>
            </w:r>
          </w:p>
        </w:tc>
        <w:tc>
          <w:tcPr>
            <w:tcW w:w="2677" w:type="dxa"/>
            <w:gridSpan w:val="3"/>
            <w:vAlign w:val="center"/>
          </w:tcPr>
          <w:p>
            <w:pPr>
              <w:snapToGrid w:val="0"/>
              <w:spacing w:line="240" w:lineRule="auto"/>
              <w:jc w:val="center"/>
              <w:rPr>
                <w:b/>
                <w:color w:val="000000"/>
                <w:sz w:val="16"/>
                <w:szCs w:val="16"/>
              </w:rPr>
            </w:pPr>
            <w:r>
              <w:rPr>
                <w:rFonts w:hint="eastAsia"/>
                <w:b/>
                <w:color w:val="000000"/>
                <w:sz w:val="16"/>
                <w:szCs w:val="16"/>
              </w:rPr>
              <w:t>8000h/a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507" w:type="dxa"/>
            <w:gridSpan w:val="2"/>
            <w:vAlign w:val="center"/>
          </w:tcPr>
          <w:p>
            <w:pPr>
              <w:snapToGrid w:val="0"/>
              <w:spacing w:line="240" w:lineRule="auto"/>
              <w:jc w:val="center"/>
              <w:rPr>
                <w:b/>
                <w:color w:val="000000"/>
                <w:sz w:val="16"/>
                <w:szCs w:val="16"/>
              </w:rPr>
            </w:pPr>
            <w:r>
              <w:rPr>
                <w:b/>
                <w:color w:val="000000"/>
                <w:sz w:val="16"/>
                <w:szCs w:val="16"/>
              </w:rPr>
              <w:t>建设单位</w:t>
            </w:r>
          </w:p>
        </w:tc>
        <w:tc>
          <w:tcPr>
            <w:tcW w:w="1869" w:type="dxa"/>
            <w:gridSpan w:val="3"/>
            <w:vAlign w:val="center"/>
          </w:tcPr>
          <w:p>
            <w:pPr>
              <w:snapToGrid w:val="0"/>
              <w:spacing w:line="240" w:lineRule="auto"/>
              <w:jc w:val="center"/>
              <w:rPr>
                <w:b/>
                <w:color w:val="000000"/>
                <w:sz w:val="16"/>
                <w:szCs w:val="16"/>
              </w:rPr>
            </w:pPr>
            <w:r>
              <w:rPr>
                <w:rFonts w:hint="eastAsia"/>
                <w:b/>
                <w:color w:val="000000"/>
                <w:sz w:val="16"/>
                <w:szCs w:val="16"/>
              </w:rPr>
              <w:t>中国石油天然气股份有限公司吐哈油田分公司吐鲁番采油厂</w:t>
            </w:r>
          </w:p>
        </w:tc>
        <w:tc>
          <w:tcPr>
            <w:tcW w:w="1185" w:type="dxa"/>
            <w:gridSpan w:val="3"/>
            <w:vAlign w:val="center"/>
          </w:tcPr>
          <w:p>
            <w:pPr>
              <w:snapToGrid w:val="0"/>
              <w:spacing w:line="240" w:lineRule="auto"/>
              <w:jc w:val="center"/>
              <w:rPr>
                <w:b/>
                <w:color w:val="000000"/>
                <w:sz w:val="16"/>
                <w:szCs w:val="16"/>
              </w:rPr>
            </w:pPr>
            <w:r>
              <w:rPr>
                <w:b/>
                <w:color w:val="000000"/>
                <w:sz w:val="16"/>
                <w:szCs w:val="16"/>
              </w:rPr>
              <w:t>邮政</w:t>
            </w:r>
          </w:p>
          <w:p>
            <w:pPr>
              <w:snapToGrid w:val="0"/>
              <w:spacing w:line="240" w:lineRule="auto"/>
              <w:jc w:val="center"/>
              <w:rPr>
                <w:b/>
                <w:color w:val="000000"/>
                <w:sz w:val="16"/>
                <w:szCs w:val="16"/>
              </w:rPr>
            </w:pPr>
            <w:r>
              <w:rPr>
                <w:b/>
                <w:color w:val="000000"/>
                <w:sz w:val="16"/>
                <w:szCs w:val="16"/>
              </w:rPr>
              <w:t>编码</w:t>
            </w:r>
          </w:p>
        </w:tc>
        <w:tc>
          <w:tcPr>
            <w:tcW w:w="1594" w:type="dxa"/>
            <w:gridSpan w:val="3"/>
            <w:vAlign w:val="center"/>
          </w:tcPr>
          <w:p>
            <w:pPr>
              <w:snapToGrid w:val="0"/>
              <w:spacing w:line="240" w:lineRule="auto"/>
              <w:jc w:val="center"/>
              <w:rPr>
                <w:b/>
                <w:color w:val="000000"/>
                <w:sz w:val="16"/>
                <w:szCs w:val="16"/>
              </w:rPr>
            </w:pPr>
            <w:r>
              <w:rPr>
                <w:rFonts w:hint="eastAsia"/>
                <w:b/>
                <w:color w:val="000000"/>
                <w:sz w:val="16"/>
                <w:szCs w:val="16"/>
              </w:rPr>
              <w:t>838202</w:t>
            </w:r>
          </w:p>
        </w:tc>
        <w:tc>
          <w:tcPr>
            <w:tcW w:w="1930" w:type="dxa"/>
            <w:vAlign w:val="center"/>
          </w:tcPr>
          <w:p>
            <w:pPr>
              <w:snapToGrid w:val="0"/>
              <w:spacing w:line="240" w:lineRule="auto"/>
              <w:jc w:val="center"/>
              <w:rPr>
                <w:b/>
                <w:color w:val="000000"/>
                <w:sz w:val="16"/>
                <w:szCs w:val="16"/>
              </w:rPr>
            </w:pPr>
            <w:r>
              <w:rPr>
                <w:b/>
                <w:color w:val="000000"/>
                <w:sz w:val="16"/>
                <w:szCs w:val="16"/>
              </w:rPr>
              <w:t>联系电话</w:t>
            </w:r>
          </w:p>
        </w:tc>
        <w:tc>
          <w:tcPr>
            <w:tcW w:w="1861" w:type="dxa"/>
            <w:gridSpan w:val="2"/>
            <w:vAlign w:val="center"/>
          </w:tcPr>
          <w:p>
            <w:pPr>
              <w:snapToGrid w:val="0"/>
              <w:spacing w:line="240" w:lineRule="auto"/>
              <w:jc w:val="center"/>
              <w:rPr>
                <w:b/>
                <w:color w:val="000000"/>
                <w:sz w:val="16"/>
                <w:szCs w:val="16"/>
              </w:rPr>
            </w:pPr>
            <w:r>
              <w:rPr>
                <w:rFonts w:hint="eastAsia"/>
                <w:b/>
                <w:color w:val="000000"/>
                <w:sz w:val="16"/>
                <w:szCs w:val="16"/>
              </w:rPr>
              <w:t>13909953093</w:t>
            </w:r>
          </w:p>
        </w:tc>
        <w:tc>
          <w:tcPr>
            <w:tcW w:w="990" w:type="dxa"/>
            <w:vAlign w:val="center"/>
          </w:tcPr>
          <w:p>
            <w:pPr>
              <w:snapToGrid w:val="0"/>
              <w:spacing w:line="240" w:lineRule="auto"/>
              <w:jc w:val="center"/>
              <w:rPr>
                <w:b/>
                <w:color w:val="000000"/>
                <w:sz w:val="16"/>
                <w:szCs w:val="16"/>
              </w:rPr>
            </w:pPr>
            <w:r>
              <w:rPr>
                <w:b/>
                <w:color w:val="000000"/>
                <w:sz w:val="16"/>
                <w:szCs w:val="16"/>
              </w:rPr>
              <w:t>环评单位</w:t>
            </w:r>
          </w:p>
        </w:tc>
        <w:tc>
          <w:tcPr>
            <w:tcW w:w="2677" w:type="dxa"/>
            <w:gridSpan w:val="3"/>
            <w:vAlign w:val="center"/>
          </w:tcPr>
          <w:p>
            <w:pPr>
              <w:snapToGrid w:val="0"/>
              <w:spacing w:line="240" w:lineRule="auto"/>
              <w:jc w:val="center"/>
              <w:rPr>
                <w:b/>
                <w:color w:val="000000"/>
                <w:sz w:val="16"/>
                <w:szCs w:val="16"/>
              </w:rPr>
            </w:pPr>
            <w:r>
              <w:rPr>
                <w:rFonts w:hint="eastAsia"/>
                <w:b/>
                <w:color w:val="000000"/>
                <w:sz w:val="16"/>
                <w:szCs w:val="16"/>
                <w:lang w:val="zh-CN"/>
              </w:rPr>
              <w:t>新疆天地源环保科技发展有限公司</w:t>
            </w:r>
          </w:p>
        </w:tc>
      </w:tr>
    </w:tbl>
    <w:p>
      <w:pPr>
        <w:snapToGrid w:val="0"/>
        <w:spacing w:line="240" w:lineRule="auto"/>
        <w:jc w:val="center"/>
        <w:rPr>
          <w:rFonts w:eastAsia="黑体"/>
          <w:b/>
          <w:spacing w:val="20"/>
          <w:sz w:val="16"/>
          <w:szCs w:val="16"/>
        </w:rPr>
        <w:sectPr>
          <w:footerReference r:id="rId12" w:type="default"/>
          <w:pgSz w:w="16838" w:h="11906" w:orient="landscape"/>
          <w:pgMar w:top="1800" w:right="1440" w:bottom="1800" w:left="1440" w:header="737" w:footer="1191" w:gutter="0"/>
          <w:cols w:space="720" w:num="1"/>
          <w:docGrid w:type="lines" w:linePitch="312" w:charSpace="0"/>
        </w:sectPr>
      </w:pPr>
    </w:p>
    <w:tbl>
      <w:tblPr>
        <w:tblStyle w:val="40"/>
        <w:tblW w:w="14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689"/>
        <w:gridCol w:w="1160"/>
        <w:gridCol w:w="699"/>
        <w:gridCol w:w="1170"/>
        <w:gridCol w:w="1185"/>
        <w:gridCol w:w="1050"/>
        <w:gridCol w:w="1125"/>
        <w:gridCol w:w="1184"/>
        <w:gridCol w:w="961"/>
        <w:gridCol w:w="1065"/>
        <w:gridCol w:w="990"/>
        <w:gridCol w:w="885"/>
        <w:gridCol w:w="1050"/>
        <w:gridCol w:w="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658" w:type="dxa"/>
            <w:vMerge w:val="restart"/>
            <w:vAlign w:val="center"/>
          </w:tcPr>
          <w:p>
            <w:pPr>
              <w:snapToGrid w:val="0"/>
              <w:spacing w:line="240" w:lineRule="auto"/>
              <w:jc w:val="center"/>
              <w:rPr>
                <w:b/>
                <w:sz w:val="16"/>
                <w:szCs w:val="16"/>
              </w:rPr>
            </w:pPr>
            <w:r>
              <w:rPr>
                <w:rFonts w:eastAsia="黑体"/>
                <w:b/>
                <w:spacing w:val="20"/>
                <w:sz w:val="16"/>
                <w:szCs w:val="16"/>
              </w:rPr>
              <w:t>污染物排放达标与总量控制（工业建设项目详填）</w:t>
            </w:r>
          </w:p>
        </w:tc>
        <w:tc>
          <w:tcPr>
            <w:tcW w:w="1849" w:type="dxa"/>
            <w:gridSpan w:val="2"/>
            <w:vAlign w:val="center"/>
          </w:tcPr>
          <w:p>
            <w:pPr>
              <w:snapToGrid w:val="0"/>
              <w:spacing w:line="240" w:lineRule="auto"/>
              <w:jc w:val="center"/>
              <w:rPr>
                <w:b/>
                <w:sz w:val="16"/>
                <w:szCs w:val="16"/>
              </w:rPr>
            </w:pPr>
            <w:r>
              <w:rPr>
                <w:b/>
                <w:sz w:val="16"/>
                <w:szCs w:val="16"/>
              </w:rPr>
              <w:t>污染物</w:t>
            </w:r>
          </w:p>
        </w:tc>
        <w:tc>
          <w:tcPr>
            <w:tcW w:w="699" w:type="dxa"/>
            <w:vAlign w:val="center"/>
          </w:tcPr>
          <w:p>
            <w:pPr>
              <w:snapToGrid w:val="0"/>
              <w:spacing w:line="240" w:lineRule="auto"/>
              <w:jc w:val="center"/>
              <w:rPr>
                <w:b/>
                <w:sz w:val="16"/>
                <w:szCs w:val="16"/>
              </w:rPr>
            </w:pPr>
            <w:r>
              <w:rPr>
                <w:b/>
                <w:sz w:val="16"/>
                <w:szCs w:val="16"/>
              </w:rPr>
              <w:t>原有排</w:t>
            </w:r>
          </w:p>
          <w:p>
            <w:pPr>
              <w:snapToGrid w:val="0"/>
              <w:spacing w:line="240" w:lineRule="auto"/>
              <w:jc w:val="center"/>
              <w:rPr>
                <w:b/>
                <w:sz w:val="16"/>
                <w:szCs w:val="16"/>
              </w:rPr>
            </w:pPr>
            <w:r>
              <w:rPr>
                <w:b/>
                <w:sz w:val="16"/>
                <w:szCs w:val="16"/>
              </w:rPr>
              <w:t>放量</w:t>
            </w:r>
          </w:p>
          <w:p>
            <w:pPr>
              <w:snapToGrid w:val="0"/>
              <w:spacing w:line="240" w:lineRule="auto"/>
              <w:jc w:val="center"/>
              <w:rPr>
                <w:b/>
                <w:sz w:val="16"/>
                <w:szCs w:val="16"/>
              </w:rPr>
            </w:pPr>
            <w:r>
              <w:rPr>
                <w:b/>
                <w:sz w:val="16"/>
                <w:szCs w:val="16"/>
              </w:rPr>
              <w:t>(1)</w:t>
            </w:r>
          </w:p>
        </w:tc>
        <w:tc>
          <w:tcPr>
            <w:tcW w:w="1170" w:type="dxa"/>
            <w:vAlign w:val="center"/>
          </w:tcPr>
          <w:p>
            <w:pPr>
              <w:snapToGrid w:val="0"/>
              <w:spacing w:line="240" w:lineRule="auto"/>
              <w:jc w:val="center"/>
              <w:rPr>
                <w:b/>
                <w:sz w:val="16"/>
                <w:szCs w:val="16"/>
              </w:rPr>
            </w:pPr>
            <w:r>
              <w:rPr>
                <w:b/>
                <w:sz w:val="16"/>
                <w:szCs w:val="16"/>
              </w:rPr>
              <w:t>本期工程实际排放浓度</w:t>
            </w:r>
          </w:p>
          <w:p>
            <w:pPr>
              <w:snapToGrid w:val="0"/>
              <w:spacing w:line="240" w:lineRule="auto"/>
              <w:jc w:val="center"/>
              <w:rPr>
                <w:b/>
                <w:sz w:val="16"/>
                <w:szCs w:val="16"/>
              </w:rPr>
            </w:pPr>
            <w:r>
              <w:rPr>
                <w:b/>
                <w:sz w:val="16"/>
                <w:szCs w:val="16"/>
              </w:rPr>
              <w:t>(2)</w:t>
            </w:r>
          </w:p>
        </w:tc>
        <w:tc>
          <w:tcPr>
            <w:tcW w:w="1185" w:type="dxa"/>
            <w:vAlign w:val="center"/>
          </w:tcPr>
          <w:p>
            <w:pPr>
              <w:snapToGrid w:val="0"/>
              <w:spacing w:line="240" w:lineRule="auto"/>
              <w:jc w:val="center"/>
              <w:rPr>
                <w:b/>
                <w:sz w:val="16"/>
                <w:szCs w:val="16"/>
              </w:rPr>
            </w:pPr>
            <w:r>
              <w:rPr>
                <w:b/>
                <w:sz w:val="16"/>
                <w:szCs w:val="16"/>
              </w:rPr>
              <w:t>本期工程允许排放浓度</w:t>
            </w:r>
          </w:p>
          <w:p>
            <w:pPr>
              <w:snapToGrid w:val="0"/>
              <w:spacing w:line="240" w:lineRule="auto"/>
              <w:jc w:val="center"/>
              <w:rPr>
                <w:b/>
                <w:sz w:val="16"/>
                <w:szCs w:val="16"/>
              </w:rPr>
            </w:pPr>
            <w:r>
              <w:rPr>
                <w:b/>
                <w:sz w:val="16"/>
                <w:szCs w:val="16"/>
              </w:rPr>
              <w:t>(3)</w:t>
            </w:r>
          </w:p>
        </w:tc>
        <w:tc>
          <w:tcPr>
            <w:tcW w:w="1050" w:type="dxa"/>
            <w:vAlign w:val="center"/>
          </w:tcPr>
          <w:p>
            <w:pPr>
              <w:snapToGrid w:val="0"/>
              <w:spacing w:line="240" w:lineRule="auto"/>
              <w:jc w:val="center"/>
              <w:rPr>
                <w:b/>
                <w:sz w:val="16"/>
                <w:szCs w:val="16"/>
              </w:rPr>
            </w:pPr>
            <w:r>
              <w:rPr>
                <w:b/>
                <w:sz w:val="16"/>
                <w:szCs w:val="16"/>
              </w:rPr>
              <w:t>本期工程产生量</w:t>
            </w:r>
          </w:p>
          <w:p>
            <w:pPr>
              <w:snapToGrid w:val="0"/>
              <w:spacing w:line="240" w:lineRule="auto"/>
              <w:jc w:val="center"/>
              <w:rPr>
                <w:b/>
                <w:sz w:val="16"/>
                <w:szCs w:val="16"/>
              </w:rPr>
            </w:pPr>
            <w:r>
              <w:rPr>
                <w:b/>
                <w:sz w:val="16"/>
                <w:szCs w:val="16"/>
              </w:rPr>
              <w:t>(4)</w:t>
            </w:r>
          </w:p>
        </w:tc>
        <w:tc>
          <w:tcPr>
            <w:tcW w:w="1125" w:type="dxa"/>
            <w:vAlign w:val="center"/>
          </w:tcPr>
          <w:p>
            <w:pPr>
              <w:snapToGrid w:val="0"/>
              <w:spacing w:line="240" w:lineRule="auto"/>
              <w:jc w:val="center"/>
              <w:rPr>
                <w:b/>
                <w:sz w:val="16"/>
                <w:szCs w:val="16"/>
              </w:rPr>
            </w:pPr>
            <w:r>
              <w:rPr>
                <w:b/>
                <w:sz w:val="16"/>
                <w:szCs w:val="16"/>
              </w:rPr>
              <w:t>本期工程自身削减量</w:t>
            </w:r>
          </w:p>
          <w:p>
            <w:pPr>
              <w:snapToGrid w:val="0"/>
              <w:spacing w:line="240" w:lineRule="auto"/>
              <w:jc w:val="center"/>
              <w:rPr>
                <w:b/>
                <w:sz w:val="16"/>
                <w:szCs w:val="16"/>
              </w:rPr>
            </w:pPr>
            <w:r>
              <w:rPr>
                <w:b/>
                <w:sz w:val="16"/>
                <w:szCs w:val="16"/>
              </w:rPr>
              <w:t>(5)</w:t>
            </w:r>
          </w:p>
        </w:tc>
        <w:tc>
          <w:tcPr>
            <w:tcW w:w="1184" w:type="dxa"/>
            <w:vAlign w:val="center"/>
          </w:tcPr>
          <w:p>
            <w:pPr>
              <w:snapToGrid w:val="0"/>
              <w:spacing w:line="240" w:lineRule="auto"/>
              <w:jc w:val="center"/>
              <w:rPr>
                <w:b/>
                <w:sz w:val="16"/>
                <w:szCs w:val="16"/>
              </w:rPr>
            </w:pPr>
            <w:r>
              <w:rPr>
                <w:b/>
                <w:sz w:val="16"/>
                <w:szCs w:val="16"/>
              </w:rPr>
              <w:t>本期工程实际排放量</w:t>
            </w:r>
          </w:p>
          <w:p>
            <w:pPr>
              <w:snapToGrid w:val="0"/>
              <w:spacing w:line="240" w:lineRule="auto"/>
              <w:jc w:val="center"/>
              <w:rPr>
                <w:b/>
                <w:sz w:val="16"/>
                <w:szCs w:val="16"/>
              </w:rPr>
            </w:pPr>
            <w:r>
              <w:rPr>
                <w:b/>
                <w:sz w:val="16"/>
                <w:szCs w:val="16"/>
              </w:rPr>
              <w:t>(6)</w:t>
            </w:r>
          </w:p>
        </w:tc>
        <w:tc>
          <w:tcPr>
            <w:tcW w:w="961" w:type="dxa"/>
            <w:vAlign w:val="center"/>
          </w:tcPr>
          <w:p>
            <w:pPr>
              <w:snapToGrid w:val="0"/>
              <w:spacing w:line="240" w:lineRule="auto"/>
              <w:jc w:val="center"/>
              <w:rPr>
                <w:b/>
                <w:sz w:val="16"/>
                <w:szCs w:val="16"/>
              </w:rPr>
            </w:pPr>
            <w:r>
              <w:rPr>
                <w:b/>
                <w:sz w:val="16"/>
                <w:szCs w:val="16"/>
              </w:rPr>
              <w:t>本期工程核定排放总量</w:t>
            </w:r>
          </w:p>
          <w:p>
            <w:pPr>
              <w:snapToGrid w:val="0"/>
              <w:spacing w:line="240" w:lineRule="auto"/>
              <w:jc w:val="center"/>
              <w:rPr>
                <w:b/>
                <w:sz w:val="16"/>
                <w:szCs w:val="16"/>
              </w:rPr>
            </w:pPr>
            <w:r>
              <w:rPr>
                <w:b/>
                <w:sz w:val="16"/>
                <w:szCs w:val="16"/>
              </w:rPr>
              <w:t>(7)</w:t>
            </w:r>
          </w:p>
        </w:tc>
        <w:tc>
          <w:tcPr>
            <w:tcW w:w="1065" w:type="dxa"/>
            <w:vAlign w:val="center"/>
          </w:tcPr>
          <w:p>
            <w:pPr>
              <w:snapToGrid w:val="0"/>
              <w:spacing w:line="240" w:lineRule="auto"/>
              <w:jc w:val="center"/>
              <w:rPr>
                <w:b/>
                <w:sz w:val="16"/>
                <w:szCs w:val="16"/>
              </w:rPr>
            </w:pPr>
            <w:r>
              <w:rPr>
                <w:b/>
                <w:sz w:val="16"/>
                <w:szCs w:val="16"/>
              </w:rPr>
              <w:t>本期工程“以新带老”削减量</w:t>
            </w:r>
          </w:p>
          <w:p>
            <w:pPr>
              <w:snapToGrid w:val="0"/>
              <w:spacing w:line="240" w:lineRule="auto"/>
              <w:jc w:val="center"/>
              <w:rPr>
                <w:b/>
                <w:sz w:val="16"/>
                <w:szCs w:val="16"/>
              </w:rPr>
            </w:pPr>
            <w:r>
              <w:rPr>
                <w:b/>
                <w:sz w:val="16"/>
                <w:szCs w:val="16"/>
              </w:rPr>
              <w:t>(8)</w:t>
            </w:r>
          </w:p>
        </w:tc>
        <w:tc>
          <w:tcPr>
            <w:tcW w:w="990" w:type="dxa"/>
            <w:vAlign w:val="center"/>
          </w:tcPr>
          <w:p>
            <w:pPr>
              <w:snapToGrid w:val="0"/>
              <w:spacing w:line="240" w:lineRule="auto"/>
              <w:jc w:val="center"/>
              <w:rPr>
                <w:b/>
                <w:sz w:val="16"/>
                <w:szCs w:val="16"/>
              </w:rPr>
            </w:pPr>
            <w:r>
              <w:rPr>
                <w:b/>
                <w:sz w:val="16"/>
                <w:szCs w:val="16"/>
              </w:rPr>
              <w:t>全厂实际排放总量</w:t>
            </w:r>
          </w:p>
          <w:p>
            <w:pPr>
              <w:snapToGrid w:val="0"/>
              <w:spacing w:line="240" w:lineRule="auto"/>
              <w:jc w:val="center"/>
              <w:rPr>
                <w:b/>
                <w:sz w:val="16"/>
                <w:szCs w:val="16"/>
              </w:rPr>
            </w:pPr>
            <w:r>
              <w:rPr>
                <w:b/>
                <w:sz w:val="16"/>
                <w:szCs w:val="16"/>
              </w:rPr>
              <w:t>(9)</w:t>
            </w:r>
          </w:p>
        </w:tc>
        <w:tc>
          <w:tcPr>
            <w:tcW w:w="885" w:type="dxa"/>
            <w:vAlign w:val="center"/>
          </w:tcPr>
          <w:p>
            <w:pPr>
              <w:snapToGrid w:val="0"/>
              <w:spacing w:line="240" w:lineRule="auto"/>
              <w:jc w:val="center"/>
              <w:rPr>
                <w:b/>
                <w:sz w:val="16"/>
                <w:szCs w:val="16"/>
              </w:rPr>
            </w:pPr>
            <w:r>
              <w:rPr>
                <w:b/>
                <w:sz w:val="16"/>
                <w:szCs w:val="16"/>
              </w:rPr>
              <w:t>全厂核定排放总量(10)</w:t>
            </w:r>
          </w:p>
        </w:tc>
        <w:tc>
          <w:tcPr>
            <w:tcW w:w="1050" w:type="dxa"/>
            <w:vAlign w:val="center"/>
          </w:tcPr>
          <w:p>
            <w:pPr>
              <w:snapToGrid w:val="0"/>
              <w:spacing w:line="240" w:lineRule="auto"/>
              <w:ind w:firstLine="80" w:firstLineChars="50"/>
              <w:jc w:val="center"/>
              <w:rPr>
                <w:b/>
                <w:sz w:val="16"/>
                <w:szCs w:val="16"/>
              </w:rPr>
            </w:pPr>
            <w:r>
              <w:rPr>
                <w:b/>
                <w:sz w:val="16"/>
                <w:szCs w:val="16"/>
              </w:rPr>
              <w:t>区域平衡替代削减量</w:t>
            </w:r>
          </w:p>
          <w:p>
            <w:pPr>
              <w:snapToGrid w:val="0"/>
              <w:spacing w:line="240" w:lineRule="auto"/>
              <w:ind w:firstLine="80" w:firstLineChars="50"/>
              <w:jc w:val="center"/>
              <w:rPr>
                <w:b/>
                <w:sz w:val="16"/>
                <w:szCs w:val="16"/>
              </w:rPr>
            </w:pPr>
            <w:r>
              <w:rPr>
                <w:b/>
                <w:sz w:val="16"/>
                <w:szCs w:val="16"/>
              </w:rPr>
              <w:t>(11)</w:t>
            </w:r>
          </w:p>
        </w:tc>
        <w:tc>
          <w:tcPr>
            <w:tcW w:w="742" w:type="dxa"/>
            <w:vAlign w:val="center"/>
          </w:tcPr>
          <w:p>
            <w:pPr>
              <w:snapToGrid w:val="0"/>
              <w:spacing w:line="240" w:lineRule="auto"/>
              <w:jc w:val="center"/>
              <w:rPr>
                <w:b/>
                <w:sz w:val="16"/>
                <w:szCs w:val="16"/>
              </w:rPr>
            </w:pPr>
            <w:r>
              <w:rPr>
                <w:b/>
                <w:sz w:val="16"/>
                <w:szCs w:val="16"/>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8" w:type="dxa"/>
            <w:vMerge w:val="continue"/>
            <w:vAlign w:val="center"/>
          </w:tcPr>
          <w:p>
            <w:pPr>
              <w:snapToGrid w:val="0"/>
              <w:spacing w:line="240" w:lineRule="auto"/>
              <w:jc w:val="center"/>
              <w:rPr>
                <w:b/>
                <w:sz w:val="16"/>
                <w:szCs w:val="16"/>
              </w:rPr>
            </w:pPr>
          </w:p>
        </w:tc>
        <w:tc>
          <w:tcPr>
            <w:tcW w:w="1849" w:type="dxa"/>
            <w:gridSpan w:val="2"/>
            <w:vAlign w:val="center"/>
          </w:tcPr>
          <w:p>
            <w:pPr>
              <w:snapToGrid w:val="0"/>
              <w:spacing w:line="240" w:lineRule="auto"/>
              <w:jc w:val="center"/>
              <w:rPr>
                <w:rFonts w:eastAsia="黑体"/>
                <w:b/>
                <w:sz w:val="16"/>
                <w:szCs w:val="16"/>
              </w:rPr>
            </w:pPr>
            <w:r>
              <w:rPr>
                <w:rFonts w:eastAsia="黑体"/>
                <w:b/>
                <w:sz w:val="16"/>
                <w:szCs w:val="16"/>
              </w:rPr>
              <w:t>废水</w:t>
            </w:r>
          </w:p>
        </w:tc>
        <w:tc>
          <w:tcPr>
            <w:tcW w:w="699" w:type="dxa"/>
            <w:vAlign w:val="center"/>
          </w:tcPr>
          <w:p>
            <w:pPr>
              <w:snapToGrid w:val="0"/>
              <w:spacing w:line="240" w:lineRule="auto"/>
              <w:jc w:val="center"/>
              <w:rPr>
                <w:b/>
                <w:sz w:val="16"/>
                <w:szCs w:val="16"/>
                <w:highlight w:val="yellow"/>
              </w:rPr>
            </w:pPr>
            <w:r>
              <w:rPr>
                <w:b/>
                <w:sz w:val="16"/>
                <w:szCs w:val="16"/>
              </w:rPr>
              <w:t>/</w:t>
            </w:r>
          </w:p>
        </w:tc>
        <w:tc>
          <w:tcPr>
            <w:tcW w:w="1170" w:type="dxa"/>
            <w:vAlign w:val="center"/>
          </w:tcPr>
          <w:p>
            <w:pPr>
              <w:snapToGrid w:val="0"/>
              <w:spacing w:line="240" w:lineRule="auto"/>
              <w:jc w:val="center"/>
              <w:rPr>
                <w:b/>
                <w:sz w:val="16"/>
                <w:szCs w:val="16"/>
                <w:highlight w:val="yellow"/>
              </w:rPr>
            </w:pPr>
            <w:r>
              <w:rPr>
                <w:b/>
                <w:sz w:val="16"/>
                <w:szCs w:val="16"/>
              </w:rPr>
              <w:t>/</w:t>
            </w:r>
          </w:p>
        </w:tc>
        <w:tc>
          <w:tcPr>
            <w:tcW w:w="1185" w:type="dxa"/>
            <w:vAlign w:val="center"/>
          </w:tcPr>
          <w:p>
            <w:pPr>
              <w:snapToGrid w:val="0"/>
              <w:spacing w:line="240" w:lineRule="auto"/>
              <w:jc w:val="center"/>
              <w:rPr>
                <w:b/>
                <w:sz w:val="16"/>
                <w:szCs w:val="16"/>
                <w:highlight w:val="yellow"/>
              </w:rPr>
            </w:pPr>
            <w:r>
              <w:rPr>
                <w:b/>
                <w:sz w:val="16"/>
                <w:szCs w:val="16"/>
              </w:rPr>
              <w:t>/</w:t>
            </w:r>
          </w:p>
        </w:tc>
        <w:tc>
          <w:tcPr>
            <w:tcW w:w="1050" w:type="dxa"/>
            <w:vAlign w:val="center"/>
          </w:tcPr>
          <w:p>
            <w:pPr>
              <w:snapToGrid w:val="0"/>
              <w:spacing w:line="240" w:lineRule="auto"/>
              <w:jc w:val="center"/>
              <w:rPr>
                <w:b/>
                <w:sz w:val="16"/>
                <w:szCs w:val="16"/>
                <w:highlight w:val="yellow"/>
              </w:rPr>
            </w:pPr>
            <w:r>
              <w:rPr>
                <w:b/>
                <w:sz w:val="16"/>
                <w:szCs w:val="16"/>
              </w:rPr>
              <w:t>/</w:t>
            </w:r>
          </w:p>
        </w:tc>
        <w:tc>
          <w:tcPr>
            <w:tcW w:w="1125" w:type="dxa"/>
            <w:vAlign w:val="center"/>
          </w:tcPr>
          <w:p>
            <w:pPr>
              <w:snapToGrid w:val="0"/>
              <w:spacing w:line="240" w:lineRule="auto"/>
              <w:jc w:val="center"/>
              <w:rPr>
                <w:b/>
                <w:sz w:val="16"/>
                <w:szCs w:val="16"/>
                <w:highlight w:val="yellow"/>
              </w:rPr>
            </w:pPr>
            <w:r>
              <w:rPr>
                <w:b/>
                <w:sz w:val="16"/>
                <w:szCs w:val="16"/>
              </w:rPr>
              <w:t>/</w:t>
            </w:r>
          </w:p>
        </w:tc>
        <w:tc>
          <w:tcPr>
            <w:tcW w:w="1184" w:type="dxa"/>
            <w:vAlign w:val="center"/>
          </w:tcPr>
          <w:p>
            <w:pPr>
              <w:snapToGrid w:val="0"/>
              <w:spacing w:line="240" w:lineRule="auto"/>
              <w:jc w:val="center"/>
              <w:rPr>
                <w:b/>
                <w:sz w:val="16"/>
                <w:szCs w:val="16"/>
                <w:highlight w:val="yellow"/>
              </w:rPr>
            </w:pPr>
            <w:r>
              <w:rPr>
                <w:b/>
                <w:sz w:val="16"/>
                <w:szCs w:val="16"/>
              </w:rPr>
              <w:t>/</w:t>
            </w:r>
          </w:p>
        </w:tc>
        <w:tc>
          <w:tcPr>
            <w:tcW w:w="961" w:type="dxa"/>
            <w:vAlign w:val="center"/>
          </w:tcPr>
          <w:p>
            <w:pPr>
              <w:snapToGrid w:val="0"/>
              <w:spacing w:line="240" w:lineRule="auto"/>
              <w:jc w:val="center"/>
              <w:rPr>
                <w:b/>
                <w:sz w:val="16"/>
                <w:szCs w:val="16"/>
                <w:highlight w:val="yellow"/>
              </w:rPr>
            </w:pPr>
            <w:r>
              <w:rPr>
                <w:b/>
                <w:sz w:val="16"/>
                <w:szCs w:val="16"/>
              </w:rPr>
              <w:t>/</w:t>
            </w:r>
          </w:p>
        </w:tc>
        <w:tc>
          <w:tcPr>
            <w:tcW w:w="1065" w:type="dxa"/>
            <w:vAlign w:val="center"/>
          </w:tcPr>
          <w:p>
            <w:pPr>
              <w:snapToGrid w:val="0"/>
              <w:spacing w:line="240" w:lineRule="auto"/>
              <w:jc w:val="center"/>
              <w:rPr>
                <w:b/>
                <w:sz w:val="16"/>
                <w:szCs w:val="16"/>
                <w:highlight w:val="yellow"/>
              </w:rPr>
            </w:pPr>
            <w:r>
              <w:rPr>
                <w:b/>
                <w:sz w:val="16"/>
                <w:szCs w:val="16"/>
              </w:rPr>
              <w:t>/</w:t>
            </w:r>
          </w:p>
        </w:tc>
        <w:tc>
          <w:tcPr>
            <w:tcW w:w="990" w:type="dxa"/>
            <w:vAlign w:val="center"/>
          </w:tcPr>
          <w:p>
            <w:pPr>
              <w:snapToGrid w:val="0"/>
              <w:spacing w:line="240" w:lineRule="auto"/>
              <w:jc w:val="center"/>
              <w:rPr>
                <w:b/>
                <w:sz w:val="16"/>
                <w:szCs w:val="16"/>
                <w:highlight w:val="yellow"/>
              </w:rPr>
            </w:pPr>
            <w:r>
              <w:rPr>
                <w:b/>
                <w:sz w:val="16"/>
                <w:szCs w:val="16"/>
              </w:rPr>
              <w:t>/</w:t>
            </w:r>
          </w:p>
        </w:tc>
        <w:tc>
          <w:tcPr>
            <w:tcW w:w="8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742" w:type="dxa"/>
            <w:vAlign w:val="center"/>
          </w:tcPr>
          <w:p>
            <w:pPr>
              <w:snapToGrid w:val="0"/>
              <w:spacing w:line="240" w:lineRule="auto"/>
              <w:jc w:val="center"/>
              <w:rPr>
                <w:b/>
                <w:sz w:val="16"/>
                <w:szCs w:val="16"/>
              </w:rPr>
            </w:pPr>
            <w:r>
              <w:rPr>
                <w:b/>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8" w:type="dxa"/>
            <w:vMerge w:val="continue"/>
            <w:vAlign w:val="center"/>
          </w:tcPr>
          <w:p>
            <w:pPr>
              <w:snapToGrid w:val="0"/>
              <w:spacing w:line="240" w:lineRule="auto"/>
              <w:jc w:val="center"/>
              <w:rPr>
                <w:b/>
                <w:sz w:val="16"/>
                <w:szCs w:val="16"/>
              </w:rPr>
            </w:pPr>
          </w:p>
        </w:tc>
        <w:tc>
          <w:tcPr>
            <w:tcW w:w="1849" w:type="dxa"/>
            <w:gridSpan w:val="2"/>
            <w:vAlign w:val="center"/>
          </w:tcPr>
          <w:p>
            <w:pPr>
              <w:snapToGrid w:val="0"/>
              <w:spacing w:line="240" w:lineRule="auto"/>
              <w:jc w:val="center"/>
              <w:rPr>
                <w:b/>
                <w:sz w:val="16"/>
                <w:szCs w:val="16"/>
              </w:rPr>
            </w:pPr>
            <w:r>
              <w:rPr>
                <w:b/>
                <w:sz w:val="16"/>
                <w:szCs w:val="16"/>
              </w:rPr>
              <w:t>化学需氧量</w:t>
            </w:r>
          </w:p>
        </w:tc>
        <w:tc>
          <w:tcPr>
            <w:tcW w:w="699" w:type="dxa"/>
            <w:vAlign w:val="center"/>
          </w:tcPr>
          <w:p>
            <w:pPr>
              <w:snapToGrid w:val="0"/>
              <w:spacing w:line="240" w:lineRule="auto"/>
              <w:jc w:val="center"/>
              <w:rPr>
                <w:b/>
                <w:sz w:val="16"/>
                <w:szCs w:val="16"/>
                <w:highlight w:val="yellow"/>
              </w:rPr>
            </w:pPr>
            <w:r>
              <w:rPr>
                <w:b/>
                <w:sz w:val="16"/>
                <w:szCs w:val="16"/>
              </w:rPr>
              <w:t>/</w:t>
            </w:r>
          </w:p>
        </w:tc>
        <w:tc>
          <w:tcPr>
            <w:tcW w:w="1170" w:type="dxa"/>
            <w:vAlign w:val="center"/>
          </w:tcPr>
          <w:p>
            <w:pPr>
              <w:snapToGrid w:val="0"/>
              <w:spacing w:line="240" w:lineRule="auto"/>
              <w:jc w:val="center"/>
              <w:rPr>
                <w:b/>
                <w:sz w:val="16"/>
                <w:szCs w:val="16"/>
                <w:highlight w:val="yellow"/>
              </w:rPr>
            </w:pPr>
            <w:r>
              <w:rPr>
                <w:b/>
                <w:sz w:val="16"/>
                <w:szCs w:val="16"/>
              </w:rPr>
              <w:t>/</w:t>
            </w:r>
          </w:p>
        </w:tc>
        <w:tc>
          <w:tcPr>
            <w:tcW w:w="1185" w:type="dxa"/>
            <w:vAlign w:val="center"/>
          </w:tcPr>
          <w:p>
            <w:pPr>
              <w:snapToGrid w:val="0"/>
              <w:spacing w:line="240" w:lineRule="auto"/>
              <w:jc w:val="center"/>
              <w:rPr>
                <w:b/>
                <w:sz w:val="16"/>
                <w:szCs w:val="16"/>
                <w:highlight w:val="yellow"/>
              </w:rPr>
            </w:pPr>
            <w:r>
              <w:rPr>
                <w:b/>
                <w:sz w:val="16"/>
                <w:szCs w:val="16"/>
              </w:rPr>
              <w:t>/</w:t>
            </w:r>
          </w:p>
        </w:tc>
        <w:tc>
          <w:tcPr>
            <w:tcW w:w="1050" w:type="dxa"/>
            <w:vAlign w:val="center"/>
          </w:tcPr>
          <w:p>
            <w:pPr>
              <w:snapToGrid w:val="0"/>
              <w:spacing w:line="240" w:lineRule="auto"/>
              <w:jc w:val="center"/>
              <w:rPr>
                <w:b/>
                <w:sz w:val="16"/>
                <w:szCs w:val="16"/>
                <w:highlight w:val="yellow"/>
              </w:rPr>
            </w:pPr>
            <w:r>
              <w:rPr>
                <w:b/>
                <w:sz w:val="16"/>
                <w:szCs w:val="16"/>
              </w:rPr>
              <w:t>/</w:t>
            </w:r>
          </w:p>
        </w:tc>
        <w:tc>
          <w:tcPr>
            <w:tcW w:w="1125" w:type="dxa"/>
            <w:vAlign w:val="center"/>
          </w:tcPr>
          <w:p>
            <w:pPr>
              <w:snapToGrid w:val="0"/>
              <w:spacing w:line="240" w:lineRule="auto"/>
              <w:jc w:val="center"/>
              <w:rPr>
                <w:b/>
                <w:sz w:val="16"/>
                <w:szCs w:val="16"/>
                <w:highlight w:val="yellow"/>
              </w:rPr>
            </w:pPr>
            <w:r>
              <w:rPr>
                <w:b/>
                <w:sz w:val="16"/>
                <w:szCs w:val="16"/>
              </w:rPr>
              <w:t>/</w:t>
            </w:r>
          </w:p>
        </w:tc>
        <w:tc>
          <w:tcPr>
            <w:tcW w:w="1184" w:type="dxa"/>
            <w:vAlign w:val="center"/>
          </w:tcPr>
          <w:p>
            <w:pPr>
              <w:snapToGrid w:val="0"/>
              <w:spacing w:line="240" w:lineRule="auto"/>
              <w:jc w:val="center"/>
              <w:rPr>
                <w:b/>
                <w:sz w:val="16"/>
                <w:szCs w:val="16"/>
                <w:highlight w:val="yellow"/>
              </w:rPr>
            </w:pPr>
            <w:r>
              <w:rPr>
                <w:b/>
                <w:sz w:val="16"/>
                <w:szCs w:val="16"/>
              </w:rPr>
              <w:t>/</w:t>
            </w:r>
          </w:p>
        </w:tc>
        <w:tc>
          <w:tcPr>
            <w:tcW w:w="961" w:type="dxa"/>
            <w:vAlign w:val="center"/>
          </w:tcPr>
          <w:p>
            <w:pPr>
              <w:snapToGrid w:val="0"/>
              <w:spacing w:line="240" w:lineRule="auto"/>
              <w:jc w:val="center"/>
              <w:rPr>
                <w:b/>
                <w:sz w:val="16"/>
                <w:szCs w:val="16"/>
                <w:highlight w:val="yellow"/>
              </w:rPr>
            </w:pPr>
            <w:r>
              <w:rPr>
                <w:b/>
                <w:sz w:val="16"/>
                <w:szCs w:val="16"/>
              </w:rPr>
              <w:t>/</w:t>
            </w:r>
          </w:p>
        </w:tc>
        <w:tc>
          <w:tcPr>
            <w:tcW w:w="1065" w:type="dxa"/>
            <w:vAlign w:val="center"/>
          </w:tcPr>
          <w:p>
            <w:pPr>
              <w:snapToGrid w:val="0"/>
              <w:spacing w:line="240" w:lineRule="auto"/>
              <w:jc w:val="center"/>
              <w:rPr>
                <w:b/>
                <w:sz w:val="16"/>
                <w:szCs w:val="16"/>
                <w:highlight w:val="yellow"/>
              </w:rPr>
            </w:pPr>
            <w:r>
              <w:rPr>
                <w:b/>
                <w:sz w:val="16"/>
                <w:szCs w:val="16"/>
              </w:rPr>
              <w:t>/</w:t>
            </w:r>
          </w:p>
        </w:tc>
        <w:tc>
          <w:tcPr>
            <w:tcW w:w="990" w:type="dxa"/>
            <w:vAlign w:val="center"/>
          </w:tcPr>
          <w:p>
            <w:pPr>
              <w:snapToGrid w:val="0"/>
              <w:spacing w:line="240" w:lineRule="auto"/>
              <w:jc w:val="center"/>
              <w:rPr>
                <w:b/>
                <w:sz w:val="16"/>
                <w:szCs w:val="16"/>
                <w:highlight w:val="yellow"/>
              </w:rPr>
            </w:pPr>
            <w:r>
              <w:rPr>
                <w:b/>
                <w:sz w:val="16"/>
                <w:szCs w:val="16"/>
              </w:rPr>
              <w:t>/</w:t>
            </w:r>
          </w:p>
        </w:tc>
        <w:tc>
          <w:tcPr>
            <w:tcW w:w="8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742" w:type="dxa"/>
            <w:vAlign w:val="center"/>
          </w:tcPr>
          <w:p>
            <w:pPr>
              <w:snapToGrid w:val="0"/>
              <w:spacing w:line="240" w:lineRule="auto"/>
              <w:jc w:val="center"/>
              <w:rPr>
                <w:b/>
                <w:sz w:val="16"/>
                <w:szCs w:val="16"/>
              </w:rPr>
            </w:pPr>
            <w:r>
              <w:rPr>
                <w:b/>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8" w:type="dxa"/>
            <w:vMerge w:val="continue"/>
            <w:vAlign w:val="center"/>
          </w:tcPr>
          <w:p>
            <w:pPr>
              <w:snapToGrid w:val="0"/>
              <w:spacing w:line="240" w:lineRule="auto"/>
              <w:jc w:val="center"/>
              <w:rPr>
                <w:b/>
                <w:sz w:val="16"/>
                <w:szCs w:val="16"/>
              </w:rPr>
            </w:pPr>
          </w:p>
        </w:tc>
        <w:tc>
          <w:tcPr>
            <w:tcW w:w="1849" w:type="dxa"/>
            <w:gridSpan w:val="2"/>
            <w:vAlign w:val="center"/>
          </w:tcPr>
          <w:p>
            <w:pPr>
              <w:snapToGrid w:val="0"/>
              <w:spacing w:line="240" w:lineRule="auto"/>
              <w:jc w:val="center"/>
              <w:rPr>
                <w:b/>
                <w:sz w:val="16"/>
                <w:szCs w:val="16"/>
              </w:rPr>
            </w:pPr>
            <w:r>
              <w:rPr>
                <w:b/>
                <w:sz w:val="16"/>
                <w:szCs w:val="16"/>
              </w:rPr>
              <w:t>氨      氮</w:t>
            </w:r>
          </w:p>
        </w:tc>
        <w:tc>
          <w:tcPr>
            <w:tcW w:w="699" w:type="dxa"/>
            <w:vAlign w:val="center"/>
          </w:tcPr>
          <w:p>
            <w:pPr>
              <w:snapToGrid w:val="0"/>
              <w:spacing w:line="240" w:lineRule="auto"/>
              <w:jc w:val="center"/>
              <w:rPr>
                <w:b/>
                <w:sz w:val="16"/>
                <w:szCs w:val="16"/>
                <w:highlight w:val="yellow"/>
              </w:rPr>
            </w:pPr>
            <w:r>
              <w:rPr>
                <w:b/>
                <w:sz w:val="16"/>
                <w:szCs w:val="16"/>
              </w:rPr>
              <w:t>/</w:t>
            </w:r>
          </w:p>
        </w:tc>
        <w:tc>
          <w:tcPr>
            <w:tcW w:w="1170" w:type="dxa"/>
            <w:vAlign w:val="center"/>
          </w:tcPr>
          <w:p>
            <w:pPr>
              <w:snapToGrid w:val="0"/>
              <w:spacing w:line="240" w:lineRule="auto"/>
              <w:jc w:val="center"/>
              <w:rPr>
                <w:b/>
                <w:sz w:val="16"/>
                <w:szCs w:val="16"/>
                <w:highlight w:val="yellow"/>
              </w:rPr>
            </w:pPr>
            <w:r>
              <w:rPr>
                <w:b/>
                <w:sz w:val="16"/>
                <w:szCs w:val="16"/>
              </w:rPr>
              <w:t>/</w:t>
            </w:r>
          </w:p>
        </w:tc>
        <w:tc>
          <w:tcPr>
            <w:tcW w:w="1185" w:type="dxa"/>
            <w:vAlign w:val="center"/>
          </w:tcPr>
          <w:p>
            <w:pPr>
              <w:snapToGrid w:val="0"/>
              <w:spacing w:line="240" w:lineRule="auto"/>
              <w:jc w:val="center"/>
              <w:rPr>
                <w:b/>
                <w:sz w:val="16"/>
                <w:szCs w:val="16"/>
                <w:highlight w:val="yellow"/>
              </w:rPr>
            </w:pPr>
            <w:r>
              <w:rPr>
                <w:b/>
                <w:sz w:val="16"/>
                <w:szCs w:val="16"/>
              </w:rPr>
              <w:t>/</w:t>
            </w:r>
          </w:p>
        </w:tc>
        <w:tc>
          <w:tcPr>
            <w:tcW w:w="1050" w:type="dxa"/>
            <w:vAlign w:val="center"/>
          </w:tcPr>
          <w:p>
            <w:pPr>
              <w:snapToGrid w:val="0"/>
              <w:spacing w:line="240" w:lineRule="auto"/>
              <w:jc w:val="center"/>
              <w:rPr>
                <w:b/>
                <w:sz w:val="16"/>
                <w:szCs w:val="16"/>
                <w:highlight w:val="yellow"/>
              </w:rPr>
            </w:pPr>
            <w:r>
              <w:rPr>
                <w:b/>
                <w:sz w:val="16"/>
                <w:szCs w:val="16"/>
              </w:rPr>
              <w:t>/</w:t>
            </w:r>
          </w:p>
        </w:tc>
        <w:tc>
          <w:tcPr>
            <w:tcW w:w="1125" w:type="dxa"/>
            <w:vAlign w:val="center"/>
          </w:tcPr>
          <w:p>
            <w:pPr>
              <w:snapToGrid w:val="0"/>
              <w:spacing w:line="240" w:lineRule="auto"/>
              <w:jc w:val="center"/>
              <w:rPr>
                <w:b/>
                <w:sz w:val="16"/>
                <w:szCs w:val="16"/>
                <w:highlight w:val="yellow"/>
              </w:rPr>
            </w:pPr>
            <w:r>
              <w:rPr>
                <w:b/>
                <w:sz w:val="16"/>
                <w:szCs w:val="16"/>
              </w:rPr>
              <w:t>/</w:t>
            </w:r>
          </w:p>
        </w:tc>
        <w:tc>
          <w:tcPr>
            <w:tcW w:w="1184" w:type="dxa"/>
            <w:vAlign w:val="center"/>
          </w:tcPr>
          <w:p>
            <w:pPr>
              <w:snapToGrid w:val="0"/>
              <w:spacing w:line="240" w:lineRule="auto"/>
              <w:jc w:val="center"/>
              <w:rPr>
                <w:b/>
                <w:sz w:val="16"/>
                <w:szCs w:val="16"/>
                <w:highlight w:val="yellow"/>
              </w:rPr>
            </w:pPr>
            <w:r>
              <w:rPr>
                <w:b/>
                <w:sz w:val="16"/>
                <w:szCs w:val="16"/>
              </w:rPr>
              <w:t>/</w:t>
            </w:r>
          </w:p>
        </w:tc>
        <w:tc>
          <w:tcPr>
            <w:tcW w:w="961" w:type="dxa"/>
            <w:vAlign w:val="center"/>
          </w:tcPr>
          <w:p>
            <w:pPr>
              <w:snapToGrid w:val="0"/>
              <w:spacing w:line="240" w:lineRule="auto"/>
              <w:jc w:val="center"/>
              <w:rPr>
                <w:b/>
                <w:sz w:val="16"/>
                <w:szCs w:val="16"/>
                <w:highlight w:val="yellow"/>
              </w:rPr>
            </w:pPr>
            <w:r>
              <w:rPr>
                <w:b/>
                <w:sz w:val="16"/>
                <w:szCs w:val="16"/>
              </w:rPr>
              <w:t>/</w:t>
            </w:r>
          </w:p>
        </w:tc>
        <w:tc>
          <w:tcPr>
            <w:tcW w:w="1065" w:type="dxa"/>
            <w:vAlign w:val="center"/>
          </w:tcPr>
          <w:p>
            <w:pPr>
              <w:snapToGrid w:val="0"/>
              <w:spacing w:line="240" w:lineRule="auto"/>
              <w:jc w:val="center"/>
              <w:rPr>
                <w:b/>
                <w:sz w:val="16"/>
                <w:szCs w:val="16"/>
                <w:highlight w:val="yellow"/>
              </w:rPr>
            </w:pPr>
            <w:r>
              <w:rPr>
                <w:b/>
                <w:sz w:val="16"/>
                <w:szCs w:val="16"/>
              </w:rPr>
              <w:t>/</w:t>
            </w:r>
          </w:p>
        </w:tc>
        <w:tc>
          <w:tcPr>
            <w:tcW w:w="990" w:type="dxa"/>
            <w:vAlign w:val="center"/>
          </w:tcPr>
          <w:p>
            <w:pPr>
              <w:snapToGrid w:val="0"/>
              <w:spacing w:line="240" w:lineRule="auto"/>
              <w:jc w:val="center"/>
              <w:rPr>
                <w:b/>
                <w:sz w:val="16"/>
                <w:szCs w:val="16"/>
                <w:highlight w:val="yellow"/>
              </w:rPr>
            </w:pPr>
            <w:r>
              <w:rPr>
                <w:b/>
                <w:sz w:val="16"/>
                <w:szCs w:val="16"/>
              </w:rPr>
              <w:t>/</w:t>
            </w:r>
          </w:p>
        </w:tc>
        <w:tc>
          <w:tcPr>
            <w:tcW w:w="8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742" w:type="dxa"/>
            <w:vAlign w:val="center"/>
          </w:tcPr>
          <w:p>
            <w:pPr>
              <w:snapToGrid w:val="0"/>
              <w:spacing w:line="240" w:lineRule="auto"/>
              <w:jc w:val="center"/>
              <w:rPr>
                <w:b/>
                <w:sz w:val="16"/>
                <w:szCs w:val="16"/>
              </w:rPr>
            </w:pPr>
            <w:r>
              <w:rPr>
                <w:b/>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8" w:type="dxa"/>
            <w:vMerge w:val="continue"/>
            <w:vAlign w:val="center"/>
          </w:tcPr>
          <w:p>
            <w:pPr>
              <w:snapToGrid w:val="0"/>
              <w:spacing w:line="240" w:lineRule="auto"/>
              <w:jc w:val="center"/>
              <w:rPr>
                <w:b/>
                <w:sz w:val="16"/>
                <w:szCs w:val="16"/>
              </w:rPr>
            </w:pPr>
          </w:p>
        </w:tc>
        <w:tc>
          <w:tcPr>
            <w:tcW w:w="1849" w:type="dxa"/>
            <w:gridSpan w:val="2"/>
            <w:vAlign w:val="center"/>
          </w:tcPr>
          <w:p>
            <w:pPr>
              <w:snapToGrid w:val="0"/>
              <w:spacing w:line="240" w:lineRule="auto"/>
              <w:jc w:val="center"/>
              <w:rPr>
                <w:b/>
                <w:sz w:val="16"/>
                <w:szCs w:val="16"/>
              </w:rPr>
            </w:pPr>
            <w:r>
              <w:rPr>
                <w:b/>
                <w:sz w:val="16"/>
                <w:szCs w:val="16"/>
              </w:rPr>
              <w:t>石油类</w:t>
            </w:r>
          </w:p>
        </w:tc>
        <w:tc>
          <w:tcPr>
            <w:tcW w:w="699" w:type="dxa"/>
            <w:vAlign w:val="center"/>
          </w:tcPr>
          <w:p>
            <w:pPr>
              <w:snapToGrid w:val="0"/>
              <w:spacing w:line="240" w:lineRule="auto"/>
              <w:jc w:val="center"/>
              <w:rPr>
                <w:b/>
                <w:sz w:val="16"/>
                <w:szCs w:val="16"/>
                <w:highlight w:val="yellow"/>
              </w:rPr>
            </w:pPr>
            <w:r>
              <w:rPr>
                <w:b/>
                <w:sz w:val="16"/>
                <w:szCs w:val="16"/>
              </w:rPr>
              <w:t>/</w:t>
            </w:r>
          </w:p>
        </w:tc>
        <w:tc>
          <w:tcPr>
            <w:tcW w:w="1170" w:type="dxa"/>
            <w:vAlign w:val="center"/>
          </w:tcPr>
          <w:p>
            <w:pPr>
              <w:snapToGrid w:val="0"/>
              <w:spacing w:line="240" w:lineRule="auto"/>
              <w:jc w:val="center"/>
              <w:rPr>
                <w:b/>
                <w:sz w:val="16"/>
                <w:szCs w:val="16"/>
                <w:highlight w:val="yellow"/>
              </w:rPr>
            </w:pPr>
            <w:r>
              <w:rPr>
                <w:b/>
                <w:sz w:val="16"/>
                <w:szCs w:val="16"/>
              </w:rPr>
              <w:t>/</w:t>
            </w:r>
          </w:p>
        </w:tc>
        <w:tc>
          <w:tcPr>
            <w:tcW w:w="1185" w:type="dxa"/>
            <w:vAlign w:val="center"/>
          </w:tcPr>
          <w:p>
            <w:pPr>
              <w:snapToGrid w:val="0"/>
              <w:spacing w:line="240" w:lineRule="auto"/>
              <w:jc w:val="center"/>
              <w:rPr>
                <w:b/>
                <w:sz w:val="16"/>
                <w:szCs w:val="16"/>
                <w:highlight w:val="yellow"/>
              </w:rPr>
            </w:pPr>
            <w:r>
              <w:rPr>
                <w:b/>
                <w:sz w:val="16"/>
                <w:szCs w:val="16"/>
              </w:rPr>
              <w:t>/</w:t>
            </w:r>
          </w:p>
        </w:tc>
        <w:tc>
          <w:tcPr>
            <w:tcW w:w="1050" w:type="dxa"/>
            <w:vAlign w:val="center"/>
          </w:tcPr>
          <w:p>
            <w:pPr>
              <w:snapToGrid w:val="0"/>
              <w:spacing w:line="240" w:lineRule="auto"/>
              <w:jc w:val="center"/>
              <w:rPr>
                <w:b/>
                <w:sz w:val="16"/>
                <w:szCs w:val="16"/>
                <w:highlight w:val="yellow"/>
              </w:rPr>
            </w:pPr>
            <w:r>
              <w:rPr>
                <w:b/>
                <w:sz w:val="16"/>
                <w:szCs w:val="16"/>
              </w:rPr>
              <w:t>/</w:t>
            </w:r>
          </w:p>
        </w:tc>
        <w:tc>
          <w:tcPr>
            <w:tcW w:w="1125" w:type="dxa"/>
            <w:vAlign w:val="center"/>
          </w:tcPr>
          <w:p>
            <w:pPr>
              <w:snapToGrid w:val="0"/>
              <w:spacing w:line="240" w:lineRule="auto"/>
              <w:jc w:val="center"/>
              <w:rPr>
                <w:b/>
                <w:sz w:val="16"/>
                <w:szCs w:val="16"/>
                <w:highlight w:val="yellow"/>
              </w:rPr>
            </w:pPr>
            <w:r>
              <w:rPr>
                <w:b/>
                <w:sz w:val="16"/>
                <w:szCs w:val="16"/>
              </w:rPr>
              <w:t>/</w:t>
            </w:r>
          </w:p>
        </w:tc>
        <w:tc>
          <w:tcPr>
            <w:tcW w:w="1184" w:type="dxa"/>
            <w:vAlign w:val="center"/>
          </w:tcPr>
          <w:p>
            <w:pPr>
              <w:snapToGrid w:val="0"/>
              <w:spacing w:line="240" w:lineRule="auto"/>
              <w:jc w:val="center"/>
              <w:rPr>
                <w:b/>
                <w:sz w:val="16"/>
                <w:szCs w:val="16"/>
                <w:highlight w:val="yellow"/>
              </w:rPr>
            </w:pPr>
            <w:r>
              <w:rPr>
                <w:b/>
                <w:sz w:val="16"/>
                <w:szCs w:val="16"/>
              </w:rPr>
              <w:t>/</w:t>
            </w:r>
          </w:p>
        </w:tc>
        <w:tc>
          <w:tcPr>
            <w:tcW w:w="961" w:type="dxa"/>
            <w:vAlign w:val="center"/>
          </w:tcPr>
          <w:p>
            <w:pPr>
              <w:snapToGrid w:val="0"/>
              <w:spacing w:line="240" w:lineRule="auto"/>
              <w:jc w:val="center"/>
              <w:rPr>
                <w:b/>
                <w:sz w:val="16"/>
                <w:szCs w:val="16"/>
                <w:highlight w:val="yellow"/>
              </w:rPr>
            </w:pPr>
            <w:r>
              <w:rPr>
                <w:b/>
                <w:sz w:val="16"/>
                <w:szCs w:val="16"/>
              </w:rPr>
              <w:t>/</w:t>
            </w:r>
          </w:p>
        </w:tc>
        <w:tc>
          <w:tcPr>
            <w:tcW w:w="1065" w:type="dxa"/>
            <w:vAlign w:val="center"/>
          </w:tcPr>
          <w:p>
            <w:pPr>
              <w:snapToGrid w:val="0"/>
              <w:spacing w:line="240" w:lineRule="auto"/>
              <w:jc w:val="center"/>
              <w:rPr>
                <w:b/>
                <w:sz w:val="16"/>
                <w:szCs w:val="16"/>
                <w:highlight w:val="yellow"/>
              </w:rPr>
            </w:pPr>
            <w:r>
              <w:rPr>
                <w:b/>
                <w:sz w:val="16"/>
                <w:szCs w:val="16"/>
              </w:rPr>
              <w:t>/</w:t>
            </w:r>
          </w:p>
        </w:tc>
        <w:tc>
          <w:tcPr>
            <w:tcW w:w="990" w:type="dxa"/>
            <w:vAlign w:val="center"/>
          </w:tcPr>
          <w:p>
            <w:pPr>
              <w:snapToGrid w:val="0"/>
              <w:spacing w:line="240" w:lineRule="auto"/>
              <w:jc w:val="center"/>
              <w:rPr>
                <w:b/>
                <w:sz w:val="16"/>
                <w:szCs w:val="16"/>
                <w:highlight w:val="yellow"/>
              </w:rPr>
            </w:pPr>
            <w:r>
              <w:rPr>
                <w:b/>
                <w:sz w:val="16"/>
                <w:szCs w:val="16"/>
              </w:rPr>
              <w:t>/</w:t>
            </w:r>
          </w:p>
        </w:tc>
        <w:tc>
          <w:tcPr>
            <w:tcW w:w="8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742" w:type="dxa"/>
            <w:vAlign w:val="center"/>
          </w:tcPr>
          <w:p>
            <w:pPr>
              <w:snapToGrid w:val="0"/>
              <w:spacing w:line="240" w:lineRule="auto"/>
              <w:jc w:val="center"/>
              <w:rPr>
                <w:b/>
                <w:sz w:val="16"/>
                <w:szCs w:val="16"/>
              </w:rPr>
            </w:pPr>
            <w:r>
              <w:rPr>
                <w:b/>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8" w:type="dxa"/>
            <w:vMerge w:val="continue"/>
            <w:vAlign w:val="center"/>
          </w:tcPr>
          <w:p>
            <w:pPr>
              <w:snapToGrid w:val="0"/>
              <w:spacing w:line="240" w:lineRule="auto"/>
              <w:jc w:val="center"/>
              <w:rPr>
                <w:b/>
                <w:sz w:val="16"/>
                <w:szCs w:val="16"/>
              </w:rPr>
            </w:pPr>
          </w:p>
        </w:tc>
        <w:tc>
          <w:tcPr>
            <w:tcW w:w="1849" w:type="dxa"/>
            <w:gridSpan w:val="2"/>
            <w:vAlign w:val="center"/>
          </w:tcPr>
          <w:p>
            <w:pPr>
              <w:snapToGrid w:val="0"/>
              <w:spacing w:line="240" w:lineRule="auto"/>
              <w:jc w:val="center"/>
              <w:rPr>
                <w:rFonts w:eastAsia="黑体"/>
                <w:b/>
                <w:sz w:val="16"/>
                <w:szCs w:val="16"/>
              </w:rPr>
            </w:pPr>
            <w:r>
              <w:rPr>
                <w:rFonts w:eastAsia="黑体"/>
                <w:b/>
                <w:sz w:val="16"/>
                <w:szCs w:val="16"/>
              </w:rPr>
              <w:t>废气</w:t>
            </w:r>
          </w:p>
        </w:tc>
        <w:tc>
          <w:tcPr>
            <w:tcW w:w="699" w:type="dxa"/>
            <w:vAlign w:val="center"/>
          </w:tcPr>
          <w:p>
            <w:pPr>
              <w:snapToGrid w:val="0"/>
              <w:spacing w:line="240" w:lineRule="auto"/>
              <w:jc w:val="center"/>
              <w:rPr>
                <w:b/>
                <w:sz w:val="16"/>
                <w:szCs w:val="16"/>
                <w:highlight w:val="yellow"/>
              </w:rPr>
            </w:pPr>
            <w:r>
              <w:rPr>
                <w:b/>
                <w:sz w:val="16"/>
                <w:szCs w:val="16"/>
              </w:rPr>
              <w:t>/</w:t>
            </w:r>
          </w:p>
        </w:tc>
        <w:tc>
          <w:tcPr>
            <w:tcW w:w="1170" w:type="dxa"/>
            <w:vAlign w:val="center"/>
          </w:tcPr>
          <w:p>
            <w:pPr>
              <w:snapToGrid w:val="0"/>
              <w:spacing w:line="240" w:lineRule="auto"/>
              <w:jc w:val="center"/>
              <w:rPr>
                <w:b/>
                <w:sz w:val="16"/>
                <w:szCs w:val="16"/>
                <w:highlight w:val="yellow"/>
              </w:rPr>
            </w:pPr>
            <w:r>
              <w:rPr>
                <w:b/>
                <w:sz w:val="16"/>
                <w:szCs w:val="16"/>
              </w:rPr>
              <w:t>/</w:t>
            </w:r>
          </w:p>
        </w:tc>
        <w:tc>
          <w:tcPr>
            <w:tcW w:w="1185" w:type="dxa"/>
            <w:vAlign w:val="center"/>
          </w:tcPr>
          <w:p>
            <w:pPr>
              <w:snapToGrid w:val="0"/>
              <w:spacing w:line="240" w:lineRule="auto"/>
              <w:jc w:val="center"/>
              <w:rPr>
                <w:b/>
                <w:sz w:val="16"/>
                <w:szCs w:val="16"/>
                <w:highlight w:val="yellow"/>
              </w:rPr>
            </w:pPr>
            <w:r>
              <w:rPr>
                <w:b/>
                <w:sz w:val="16"/>
                <w:szCs w:val="16"/>
              </w:rPr>
              <w:t>/</w:t>
            </w:r>
          </w:p>
        </w:tc>
        <w:tc>
          <w:tcPr>
            <w:tcW w:w="1050" w:type="dxa"/>
            <w:vAlign w:val="center"/>
          </w:tcPr>
          <w:p>
            <w:pPr>
              <w:snapToGrid w:val="0"/>
              <w:spacing w:line="240" w:lineRule="auto"/>
              <w:jc w:val="center"/>
              <w:rPr>
                <w:b/>
                <w:sz w:val="16"/>
                <w:szCs w:val="16"/>
                <w:highlight w:val="yellow"/>
              </w:rPr>
            </w:pPr>
            <w:r>
              <w:rPr>
                <w:b/>
                <w:sz w:val="16"/>
                <w:szCs w:val="16"/>
              </w:rPr>
              <w:t>/</w:t>
            </w:r>
          </w:p>
        </w:tc>
        <w:tc>
          <w:tcPr>
            <w:tcW w:w="1125" w:type="dxa"/>
            <w:vAlign w:val="center"/>
          </w:tcPr>
          <w:p>
            <w:pPr>
              <w:snapToGrid w:val="0"/>
              <w:spacing w:line="240" w:lineRule="auto"/>
              <w:jc w:val="center"/>
              <w:rPr>
                <w:b/>
                <w:sz w:val="16"/>
                <w:szCs w:val="16"/>
                <w:highlight w:val="yellow"/>
              </w:rPr>
            </w:pPr>
            <w:r>
              <w:rPr>
                <w:b/>
                <w:sz w:val="16"/>
                <w:szCs w:val="16"/>
              </w:rPr>
              <w:t>/</w:t>
            </w:r>
          </w:p>
        </w:tc>
        <w:tc>
          <w:tcPr>
            <w:tcW w:w="1184" w:type="dxa"/>
            <w:vAlign w:val="center"/>
          </w:tcPr>
          <w:p>
            <w:pPr>
              <w:snapToGrid w:val="0"/>
              <w:spacing w:line="240" w:lineRule="auto"/>
              <w:jc w:val="center"/>
              <w:rPr>
                <w:b/>
                <w:sz w:val="16"/>
                <w:szCs w:val="16"/>
                <w:highlight w:val="yellow"/>
              </w:rPr>
            </w:pPr>
            <w:r>
              <w:rPr>
                <w:b/>
                <w:sz w:val="16"/>
                <w:szCs w:val="16"/>
              </w:rPr>
              <w:t>/</w:t>
            </w:r>
          </w:p>
        </w:tc>
        <w:tc>
          <w:tcPr>
            <w:tcW w:w="961" w:type="dxa"/>
            <w:vAlign w:val="center"/>
          </w:tcPr>
          <w:p>
            <w:pPr>
              <w:snapToGrid w:val="0"/>
              <w:spacing w:line="240" w:lineRule="auto"/>
              <w:jc w:val="center"/>
              <w:rPr>
                <w:b/>
                <w:sz w:val="16"/>
                <w:szCs w:val="16"/>
                <w:highlight w:val="yellow"/>
              </w:rPr>
            </w:pPr>
            <w:r>
              <w:rPr>
                <w:b/>
                <w:sz w:val="16"/>
                <w:szCs w:val="16"/>
              </w:rPr>
              <w:t>/</w:t>
            </w:r>
          </w:p>
        </w:tc>
        <w:tc>
          <w:tcPr>
            <w:tcW w:w="1065" w:type="dxa"/>
            <w:vAlign w:val="center"/>
          </w:tcPr>
          <w:p>
            <w:pPr>
              <w:snapToGrid w:val="0"/>
              <w:spacing w:line="240" w:lineRule="auto"/>
              <w:jc w:val="center"/>
              <w:rPr>
                <w:b/>
                <w:sz w:val="16"/>
                <w:szCs w:val="16"/>
                <w:highlight w:val="yellow"/>
              </w:rPr>
            </w:pPr>
            <w:r>
              <w:rPr>
                <w:b/>
                <w:sz w:val="16"/>
                <w:szCs w:val="16"/>
              </w:rPr>
              <w:t>/</w:t>
            </w:r>
          </w:p>
        </w:tc>
        <w:tc>
          <w:tcPr>
            <w:tcW w:w="990" w:type="dxa"/>
            <w:vAlign w:val="center"/>
          </w:tcPr>
          <w:p>
            <w:pPr>
              <w:snapToGrid w:val="0"/>
              <w:spacing w:line="240" w:lineRule="auto"/>
              <w:jc w:val="center"/>
              <w:rPr>
                <w:b/>
                <w:sz w:val="16"/>
                <w:szCs w:val="16"/>
                <w:highlight w:val="yellow"/>
              </w:rPr>
            </w:pPr>
            <w:r>
              <w:rPr>
                <w:b/>
                <w:sz w:val="16"/>
                <w:szCs w:val="16"/>
              </w:rPr>
              <w:t>/</w:t>
            </w:r>
          </w:p>
        </w:tc>
        <w:tc>
          <w:tcPr>
            <w:tcW w:w="8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742" w:type="dxa"/>
            <w:vAlign w:val="center"/>
          </w:tcPr>
          <w:p>
            <w:pPr>
              <w:snapToGrid w:val="0"/>
              <w:spacing w:line="240" w:lineRule="auto"/>
              <w:jc w:val="center"/>
              <w:rPr>
                <w:b/>
                <w:sz w:val="16"/>
                <w:szCs w:val="16"/>
              </w:rPr>
            </w:pPr>
            <w:r>
              <w:rPr>
                <w:b/>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8" w:type="dxa"/>
            <w:vMerge w:val="continue"/>
            <w:vAlign w:val="center"/>
          </w:tcPr>
          <w:p>
            <w:pPr>
              <w:snapToGrid w:val="0"/>
              <w:spacing w:line="240" w:lineRule="auto"/>
              <w:jc w:val="center"/>
              <w:rPr>
                <w:b/>
                <w:sz w:val="16"/>
                <w:szCs w:val="16"/>
              </w:rPr>
            </w:pPr>
          </w:p>
        </w:tc>
        <w:tc>
          <w:tcPr>
            <w:tcW w:w="1849" w:type="dxa"/>
            <w:gridSpan w:val="2"/>
            <w:vAlign w:val="center"/>
          </w:tcPr>
          <w:p>
            <w:pPr>
              <w:snapToGrid w:val="0"/>
              <w:spacing w:line="240" w:lineRule="auto"/>
              <w:jc w:val="center"/>
              <w:rPr>
                <w:b/>
                <w:sz w:val="16"/>
                <w:szCs w:val="16"/>
              </w:rPr>
            </w:pPr>
            <w:r>
              <w:rPr>
                <w:b/>
                <w:sz w:val="16"/>
                <w:szCs w:val="16"/>
              </w:rPr>
              <w:t>二氧化硫</w:t>
            </w:r>
          </w:p>
        </w:tc>
        <w:tc>
          <w:tcPr>
            <w:tcW w:w="699" w:type="dxa"/>
            <w:vAlign w:val="center"/>
          </w:tcPr>
          <w:p>
            <w:pPr>
              <w:snapToGrid w:val="0"/>
              <w:spacing w:line="240" w:lineRule="auto"/>
              <w:jc w:val="center"/>
              <w:rPr>
                <w:b/>
                <w:sz w:val="16"/>
                <w:szCs w:val="16"/>
                <w:highlight w:val="yellow"/>
              </w:rPr>
            </w:pPr>
            <w:r>
              <w:rPr>
                <w:b/>
                <w:sz w:val="16"/>
                <w:szCs w:val="16"/>
              </w:rPr>
              <w:t>/</w:t>
            </w:r>
          </w:p>
        </w:tc>
        <w:tc>
          <w:tcPr>
            <w:tcW w:w="1170" w:type="dxa"/>
            <w:vAlign w:val="center"/>
          </w:tcPr>
          <w:p>
            <w:pPr>
              <w:snapToGrid w:val="0"/>
              <w:spacing w:line="240" w:lineRule="auto"/>
              <w:jc w:val="center"/>
              <w:rPr>
                <w:b/>
                <w:sz w:val="16"/>
                <w:szCs w:val="16"/>
                <w:highlight w:val="yellow"/>
              </w:rPr>
            </w:pPr>
            <w:r>
              <w:rPr>
                <w:b/>
                <w:sz w:val="16"/>
                <w:szCs w:val="16"/>
              </w:rPr>
              <w:t>/</w:t>
            </w:r>
          </w:p>
        </w:tc>
        <w:tc>
          <w:tcPr>
            <w:tcW w:w="1185" w:type="dxa"/>
            <w:vAlign w:val="center"/>
          </w:tcPr>
          <w:p>
            <w:pPr>
              <w:snapToGrid w:val="0"/>
              <w:spacing w:line="240" w:lineRule="auto"/>
              <w:jc w:val="center"/>
              <w:rPr>
                <w:b/>
                <w:sz w:val="16"/>
                <w:szCs w:val="16"/>
                <w:highlight w:val="yellow"/>
              </w:rPr>
            </w:pPr>
            <w:r>
              <w:rPr>
                <w:b/>
                <w:sz w:val="16"/>
                <w:szCs w:val="16"/>
              </w:rPr>
              <w:t>/</w:t>
            </w:r>
          </w:p>
        </w:tc>
        <w:tc>
          <w:tcPr>
            <w:tcW w:w="1050" w:type="dxa"/>
            <w:vAlign w:val="center"/>
          </w:tcPr>
          <w:p>
            <w:pPr>
              <w:snapToGrid w:val="0"/>
              <w:spacing w:line="240" w:lineRule="auto"/>
              <w:jc w:val="center"/>
              <w:rPr>
                <w:b/>
                <w:sz w:val="16"/>
                <w:szCs w:val="16"/>
                <w:highlight w:val="yellow"/>
              </w:rPr>
            </w:pPr>
            <w:r>
              <w:rPr>
                <w:b/>
                <w:sz w:val="16"/>
                <w:szCs w:val="16"/>
              </w:rPr>
              <w:t>/</w:t>
            </w:r>
          </w:p>
        </w:tc>
        <w:tc>
          <w:tcPr>
            <w:tcW w:w="1125" w:type="dxa"/>
            <w:vAlign w:val="center"/>
          </w:tcPr>
          <w:p>
            <w:pPr>
              <w:snapToGrid w:val="0"/>
              <w:spacing w:line="240" w:lineRule="auto"/>
              <w:jc w:val="center"/>
              <w:rPr>
                <w:b/>
                <w:sz w:val="16"/>
                <w:szCs w:val="16"/>
                <w:highlight w:val="yellow"/>
              </w:rPr>
            </w:pPr>
            <w:r>
              <w:rPr>
                <w:b/>
                <w:sz w:val="16"/>
                <w:szCs w:val="16"/>
              </w:rPr>
              <w:t>/</w:t>
            </w:r>
          </w:p>
        </w:tc>
        <w:tc>
          <w:tcPr>
            <w:tcW w:w="1184" w:type="dxa"/>
            <w:vAlign w:val="center"/>
          </w:tcPr>
          <w:p>
            <w:pPr>
              <w:snapToGrid w:val="0"/>
              <w:spacing w:line="240" w:lineRule="auto"/>
              <w:jc w:val="center"/>
              <w:rPr>
                <w:b/>
                <w:sz w:val="16"/>
                <w:szCs w:val="16"/>
                <w:highlight w:val="yellow"/>
              </w:rPr>
            </w:pPr>
            <w:r>
              <w:rPr>
                <w:b/>
                <w:sz w:val="16"/>
                <w:szCs w:val="16"/>
              </w:rPr>
              <w:t>/</w:t>
            </w:r>
          </w:p>
        </w:tc>
        <w:tc>
          <w:tcPr>
            <w:tcW w:w="961" w:type="dxa"/>
            <w:vAlign w:val="center"/>
          </w:tcPr>
          <w:p>
            <w:pPr>
              <w:snapToGrid w:val="0"/>
              <w:spacing w:line="240" w:lineRule="auto"/>
              <w:jc w:val="center"/>
              <w:rPr>
                <w:b/>
                <w:sz w:val="16"/>
                <w:szCs w:val="16"/>
                <w:highlight w:val="yellow"/>
              </w:rPr>
            </w:pPr>
            <w:r>
              <w:rPr>
                <w:b/>
                <w:sz w:val="16"/>
                <w:szCs w:val="16"/>
              </w:rPr>
              <w:t>/</w:t>
            </w:r>
          </w:p>
        </w:tc>
        <w:tc>
          <w:tcPr>
            <w:tcW w:w="1065" w:type="dxa"/>
            <w:vAlign w:val="center"/>
          </w:tcPr>
          <w:p>
            <w:pPr>
              <w:snapToGrid w:val="0"/>
              <w:spacing w:line="240" w:lineRule="auto"/>
              <w:jc w:val="center"/>
              <w:rPr>
                <w:b/>
                <w:sz w:val="16"/>
                <w:szCs w:val="16"/>
                <w:highlight w:val="yellow"/>
              </w:rPr>
            </w:pPr>
            <w:r>
              <w:rPr>
                <w:b/>
                <w:sz w:val="16"/>
                <w:szCs w:val="16"/>
              </w:rPr>
              <w:t>/</w:t>
            </w:r>
          </w:p>
        </w:tc>
        <w:tc>
          <w:tcPr>
            <w:tcW w:w="990" w:type="dxa"/>
            <w:vAlign w:val="center"/>
          </w:tcPr>
          <w:p>
            <w:pPr>
              <w:snapToGrid w:val="0"/>
              <w:spacing w:line="240" w:lineRule="auto"/>
              <w:jc w:val="center"/>
              <w:rPr>
                <w:b/>
                <w:sz w:val="16"/>
                <w:szCs w:val="16"/>
                <w:highlight w:val="yellow"/>
              </w:rPr>
            </w:pPr>
            <w:r>
              <w:rPr>
                <w:b/>
                <w:sz w:val="16"/>
                <w:szCs w:val="16"/>
              </w:rPr>
              <w:t>/</w:t>
            </w:r>
          </w:p>
        </w:tc>
        <w:tc>
          <w:tcPr>
            <w:tcW w:w="8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742" w:type="dxa"/>
            <w:vAlign w:val="center"/>
          </w:tcPr>
          <w:p>
            <w:pPr>
              <w:snapToGrid w:val="0"/>
              <w:spacing w:line="240" w:lineRule="auto"/>
              <w:jc w:val="center"/>
              <w:rPr>
                <w:b/>
                <w:sz w:val="16"/>
                <w:szCs w:val="16"/>
              </w:rPr>
            </w:pPr>
            <w:r>
              <w:rPr>
                <w:b/>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8" w:type="dxa"/>
            <w:vMerge w:val="continue"/>
            <w:vAlign w:val="center"/>
          </w:tcPr>
          <w:p>
            <w:pPr>
              <w:snapToGrid w:val="0"/>
              <w:spacing w:line="240" w:lineRule="auto"/>
              <w:jc w:val="center"/>
              <w:rPr>
                <w:b/>
                <w:sz w:val="16"/>
                <w:szCs w:val="16"/>
              </w:rPr>
            </w:pPr>
          </w:p>
        </w:tc>
        <w:tc>
          <w:tcPr>
            <w:tcW w:w="1849" w:type="dxa"/>
            <w:gridSpan w:val="2"/>
            <w:vAlign w:val="center"/>
          </w:tcPr>
          <w:p>
            <w:pPr>
              <w:snapToGrid w:val="0"/>
              <w:spacing w:line="240" w:lineRule="auto"/>
              <w:jc w:val="center"/>
              <w:rPr>
                <w:b/>
                <w:sz w:val="16"/>
                <w:szCs w:val="16"/>
              </w:rPr>
            </w:pPr>
            <w:r>
              <w:rPr>
                <w:b/>
                <w:sz w:val="16"/>
                <w:szCs w:val="16"/>
              </w:rPr>
              <w:t>烟    尘</w:t>
            </w:r>
          </w:p>
        </w:tc>
        <w:tc>
          <w:tcPr>
            <w:tcW w:w="699" w:type="dxa"/>
            <w:vAlign w:val="center"/>
          </w:tcPr>
          <w:p>
            <w:pPr>
              <w:snapToGrid w:val="0"/>
              <w:spacing w:line="240" w:lineRule="auto"/>
              <w:jc w:val="center"/>
              <w:rPr>
                <w:b/>
                <w:sz w:val="16"/>
                <w:szCs w:val="16"/>
                <w:highlight w:val="yellow"/>
              </w:rPr>
            </w:pPr>
            <w:r>
              <w:rPr>
                <w:b/>
                <w:sz w:val="16"/>
                <w:szCs w:val="16"/>
              </w:rPr>
              <w:t>/</w:t>
            </w:r>
          </w:p>
        </w:tc>
        <w:tc>
          <w:tcPr>
            <w:tcW w:w="1170" w:type="dxa"/>
            <w:vAlign w:val="center"/>
          </w:tcPr>
          <w:p>
            <w:pPr>
              <w:snapToGrid w:val="0"/>
              <w:spacing w:line="240" w:lineRule="auto"/>
              <w:jc w:val="center"/>
              <w:rPr>
                <w:b/>
                <w:sz w:val="16"/>
                <w:szCs w:val="16"/>
                <w:highlight w:val="yellow"/>
              </w:rPr>
            </w:pPr>
            <w:r>
              <w:rPr>
                <w:b/>
                <w:sz w:val="16"/>
                <w:szCs w:val="16"/>
              </w:rPr>
              <w:t>/</w:t>
            </w:r>
          </w:p>
        </w:tc>
        <w:tc>
          <w:tcPr>
            <w:tcW w:w="1185" w:type="dxa"/>
            <w:vAlign w:val="center"/>
          </w:tcPr>
          <w:p>
            <w:pPr>
              <w:snapToGrid w:val="0"/>
              <w:spacing w:line="240" w:lineRule="auto"/>
              <w:jc w:val="center"/>
              <w:rPr>
                <w:b/>
                <w:sz w:val="16"/>
                <w:szCs w:val="16"/>
                <w:highlight w:val="yellow"/>
              </w:rPr>
            </w:pPr>
            <w:r>
              <w:rPr>
                <w:b/>
                <w:sz w:val="16"/>
                <w:szCs w:val="16"/>
              </w:rPr>
              <w:t>/</w:t>
            </w:r>
          </w:p>
        </w:tc>
        <w:tc>
          <w:tcPr>
            <w:tcW w:w="1050" w:type="dxa"/>
            <w:vAlign w:val="center"/>
          </w:tcPr>
          <w:p>
            <w:pPr>
              <w:snapToGrid w:val="0"/>
              <w:spacing w:line="240" w:lineRule="auto"/>
              <w:jc w:val="center"/>
              <w:rPr>
                <w:b/>
                <w:sz w:val="16"/>
                <w:szCs w:val="16"/>
                <w:highlight w:val="yellow"/>
              </w:rPr>
            </w:pPr>
            <w:r>
              <w:rPr>
                <w:b/>
                <w:sz w:val="16"/>
                <w:szCs w:val="16"/>
              </w:rPr>
              <w:t>/</w:t>
            </w:r>
          </w:p>
        </w:tc>
        <w:tc>
          <w:tcPr>
            <w:tcW w:w="1125" w:type="dxa"/>
            <w:vAlign w:val="center"/>
          </w:tcPr>
          <w:p>
            <w:pPr>
              <w:snapToGrid w:val="0"/>
              <w:spacing w:line="240" w:lineRule="auto"/>
              <w:jc w:val="center"/>
              <w:rPr>
                <w:b/>
                <w:sz w:val="16"/>
                <w:szCs w:val="16"/>
                <w:highlight w:val="yellow"/>
              </w:rPr>
            </w:pPr>
            <w:r>
              <w:rPr>
                <w:b/>
                <w:sz w:val="16"/>
                <w:szCs w:val="16"/>
              </w:rPr>
              <w:t>/</w:t>
            </w:r>
          </w:p>
        </w:tc>
        <w:tc>
          <w:tcPr>
            <w:tcW w:w="1184" w:type="dxa"/>
            <w:vAlign w:val="center"/>
          </w:tcPr>
          <w:p>
            <w:pPr>
              <w:snapToGrid w:val="0"/>
              <w:spacing w:line="240" w:lineRule="auto"/>
              <w:jc w:val="center"/>
              <w:rPr>
                <w:b/>
                <w:sz w:val="16"/>
                <w:szCs w:val="16"/>
                <w:highlight w:val="yellow"/>
              </w:rPr>
            </w:pPr>
            <w:r>
              <w:rPr>
                <w:b/>
                <w:sz w:val="16"/>
                <w:szCs w:val="16"/>
              </w:rPr>
              <w:t>/</w:t>
            </w:r>
          </w:p>
        </w:tc>
        <w:tc>
          <w:tcPr>
            <w:tcW w:w="961" w:type="dxa"/>
            <w:vAlign w:val="center"/>
          </w:tcPr>
          <w:p>
            <w:pPr>
              <w:snapToGrid w:val="0"/>
              <w:spacing w:line="240" w:lineRule="auto"/>
              <w:jc w:val="center"/>
              <w:rPr>
                <w:b/>
                <w:sz w:val="16"/>
                <w:szCs w:val="16"/>
                <w:highlight w:val="yellow"/>
              </w:rPr>
            </w:pPr>
            <w:r>
              <w:rPr>
                <w:b/>
                <w:sz w:val="16"/>
                <w:szCs w:val="16"/>
              </w:rPr>
              <w:t>/</w:t>
            </w:r>
          </w:p>
        </w:tc>
        <w:tc>
          <w:tcPr>
            <w:tcW w:w="1065" w:type="dxa"/>
            <w:vAlign w:val="center"/>
          </w:tcPr>
          <w:p>
            <w:pPr>
              <w:snapToGrid w:val="0"/>
              <w:spacing w:line="240" w:lineRule="auto"/>
              <w:jc w:val="center"/>
              <w:rPr>
                <w:b/>
                <w:sz w:val="16"/>
                <w:szCs w:val="16"/>
                <w:highlight w:val="yellow"/>
              </w:rPr>
            </w:pPr>
            <w:r>
              <w:rPr>
                <w:b/>
                <w:sz w:val="16"/>
                <w:szCs w:val="16"/>
              </w:rPr>
              <w:t>/</w:t>
            </w:r>
          </w:p>
        </w:tc>
        <w:tc>
          <w:tcPr>
            <w:tcW w:w="990" w:type="dxa"/>
            <w:vAlign w:val="center"/>
          </w:tcPr>
          <w:p>
            <w:pPr>
              <w:snapToGrid w:val="0"/>
              <w:spacing w:line="240" w:lineRule="auto"/>
              <w:jc w:val="center"/>
              <w:rPr>
                <w:b/>
                <w:sz w:val="16"/>
                <w:szCs w:val="16"/>
                <w:highlight w:val="yellow"/>
              </w:rPr>
            </w:pPr>
            <w:r>
              <w:rPr>
                <w:b/>
                <w:sz w:val="16"/>
                <w:szCs w:val="16"/>
              </w:rPr>
              <w:t>/</w:t>
            </w:r>
          </w:p>
        </w:tc>
        <w:tc>
          <w:tcPr>
            <w:tcW w:w="8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742" w:type="dxa"/>
            <w:vAlign w:val="center"/>
          </w:tcPr>
          <w:p>
            <w:pPr>
              <w:snapToGrid w:val="0"/>
              <w:spacing w:line="240" w:lineRule="auto"/>
              <w:jc w:val="center"/>
              <w:rPr>
                <w:b/>
                <w:sz w:val="16"/>
                <w:szCs w:val="16"/>
              </w:rPr>
            </w:pPr>
            <w:r>
              <w:rPr>
                <w:b/>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8" w:type="dxa"/>
            <w:vMerge w:val="continue"/>
            <w:vAlign w:val="center"/>
          </w:tcPr>
          <w:p>
            <w:pPr>
              <w:snapToGrid w:val="0"/>
              <w:spacing w:line="240" w:lineRule="auto"/>
              <w:jc w:val="center"/>
              <w:rPr>
                <w:b/>
                <w:sz w:val="16"/>
                <w:szCs w:val="16"/>
              </w:rPr>
            </w:pPr>
          </w:p>
        </w:tc>
        <w:tc>
          <w:tcPr>
            <w:tcW w:w="1849" w:type="dxa"/>
            <w:gridSpan w:val="2"/>
            <w:vAlign w:val="center"/>
          </w:tcPr>
          <w:p>
            <w:pPr>
              <w:snapToGrid w:val="0"/>
              <w:spacing w:line="240" w:lineRule="auto"/>
              <w:jc w:val="center"/>
              <w:rPr>
                <w:b/>
                <w:sz w:val="16"/>
                <w:szCs w:val="16"/>
              </w:rPr>
            </w:pPr>
            <w:r>
              <w:rPr>
                <w:b/>
                <w:sz w:val="16"/>
                <w:szCs w:val="16"/>
              </w:rPr>
              <w:t>氮氧化物</w:t>
            </w:r>
          </w:p>
        </w:tc>
        <w:tc>
          <w:tcPr>
            <w:tcW w:w="699" w:type="dxa"/>
            <w:vAlign w:val="center"/>
          </w:tcPr>
          <w:p>
            <w:pPr>
              <w:snapToGrid w:val="0"/>
              <w:spacing w:line="240" w:lineRule="auto"/>
              <w:jc w:val="center"/>
              <w:rPr>
                <w:b/>
                <w:sz w:val="16"/>
                <w:szCs w:val="16"/>
                <w:highlight w:val="yellow"/>
              </w:rPr>
            </w:pPr>
            <w:r>
              <w:rPr>
                <w:b/>
                <w:sz w:val="16"/>
                <w:szCs w:val="16"/>
              </w:rPr>
              <w:t>/</w:t>
            </w:r>
          </w:p>
        </w:tc>
        <w:tc>
          <w:tcPr>
            <w:tcW w:w="1170" w:type="dxa"/>
            <w:vAlign w:val="center"/>
          </w:tcPr>
          <w:p>
            <w:pPr>
              <w:snapToGrid w:val="0"/>
              <w:spacing w:line="240" w:lineRule="auto"/>
              <w:jc w:val="center"/>
              <w:rPr>
                <w:b/>
                <w:sz w:val="16"/>
                <w:szCs w:val="16"/>
                <w:highlight w:val="yellow"/>
              </w:rPr>
            </w:pPr>
            <w:r>
              <w:rPr>
                <w:b/>
                <w:sz w:val="16"/>
                <w:szCs w:val="16"/>
              </w:rPr>
              <w:t>/</w:t>
            </w:r>
          </w:p>
        </w:tc>
        <w:tc>
          <w:tcPr>
            <w:tcW w:w="1185" w:type="dxa"/>
            <w:vAlign w:val="center"/>
          </w:tcPr>
          <w:p>
            <w:pPr>
              <w:snapToGrid w:val="0"/>
              <w:spacing w:line="240" w:lineRule="auto"/>
              <w:jc w:val="center"/>
              <w:rPr>
                <w:b/>
                <w:sz w:val="16"/>
                <w:szCs w:val="16"/>
                <w:highlight w:val="yellow"/>
              </w:rPr>
            </w:pPr>
            <w:r>
              <w:rPr>
                <w:b/>
                <w:sz w:val="16"/>
                <w:szCs w:val="16"/>
              </w:rPr>
              <w:t>/</w:t>
            </w:r>
          </w:p>
        </w:tc>
        <w:tc>
          <w:tcPr>
            <w:tcW w:w="1050" w:type="dxa"/>
            <w:vAlign w:val="center"/>
          </w:tcPr>
          <w:p>
            <w:pPr>
              <w:snapToGrid w:val="0"/>
              <w:spacing w:line="240" w:lineRule="auto"/>
              <w:jc w:val="center"/>
              <w:rPr>
                <w:b/>
                <w:sz w:val="16"/>
                <w:szCs w:val="16"/>
                <w:highlight w:val="yellow"/>
              </w:rPr>
            </w:pPr>
            <w:r>
              <w:rPr>
                <w:b/>
                <w:sz w:val="16"/>
                <w:szCs w:val="16"/>
              </w:rPr>
              <w:t>/</w:t>
            </w:r>
          </w:p>
        </w:tc>
        <w:tc>
          <w:tcPr>
            <w:tcW w:w="1125" w:type="dxa"/>
            <w:vAlign w:val="center"/>
          </w:tcPr>
          <w:p>
            <w:pPr>
              <w:snapToGrid w:val="0"/>
              <w:spacing w:line="240" w:lineRule="auto"/>
              <w:jc w:val="center"/>
              <w:rPr>
                <w:b/>
                <w:sz w:val="16"/>
                <w:szCs w:val="16"/>
                <w:highlight w:val="yellow"/>
              </w:rPr>
            </w:pPr>
            <w:r>
              <w:rPr>
                <w:b/>
                <w:sz w:val="16"/>
                <w:szCs w:val="16"/>
              </w:rPr>
              <w:t>/</w:t>
            </w:r>
          </w:p>
        </w:tc>
        <w:tc>
          <w:tcPr>
            <w:tcW w:w="1184" w:type="dxa"/>
            <w:vAlign w:val="center"/>
          </w:tcPr>
          <w:p>
            <w:pPr>
              <w:snapToGrid w:val="0"/>
              <w:spacing w:line="240" w:lineRule="auto"/>
              <w:jc w:val="center"/>
              <w:rPr>
                <w:b/>
                <w:sz w:val="16"/>
                <w:szCs w:val="16"/>
                <w:highlight w:val="yellow"/>
              </w:rPr>
            </w:pPr>
            <w:r>
              <w:rPr>
                <w:b/>
                <w:sz w:val="16"/>
                <w:szCs w:val="16"/>
              </w:rPr>
              <w:t>/</w:t>
            </w:r>
          </w:p>
        </w:tc>
        <w:tc>
          <w:tcPr>
            <w:tcW w:w="961" w:type="dxa"/>
            <w:vAlign w:val="center"/>
          </w:tcPr>
          <w:p>
            <w:pPr>
              <w:snapToGrid w:val="0"/>
              <w:spacing w:line="240" w:lineRule="auto"/>
              <w:jc w:val="center"/>
              <w:rPr>
                <w:b/>
                <w:sz w:val="16"/>
                <w:szCs w:val="16"/>
                <w:highlight w:val="yellow"/>
              </w:rPr>
            </w:pPr>
            <w:r>
              <w:rPr>
                <w:b/>
                <w:sz w:val="16"/>
                <w:szCs w:val="16"/>
              </w:rPr>
              <w:t>/</w:t>
            </w:r>
          </w:p>
        </w:tc>
        <w:tc>
          <w:tcPr>
            <w:tcW w:w="1065" w:type="dxa"/>
            <w:vAlign w:val="center"/>
          </w:tcPr>
          <w:p>
            <w:pPr>
              <w:snapToGrid w:val="0"/>
              <w:spacing w:line="240" w:lineRule="auto"/>
              <w:jc w:val="center"/>
              <w:rPr>
                <w:b/>
                <w:sz w:val="16"/>
                <w:szCs w:val="16"/>
                <w:highlight w:val="yellow"/>
              </w:rPr>
            </w:pPr>
            <w:r>
              <w:rPr>
                <w:b/>
                <w:sz w:val="16"/>
                <w:szCs w:val="16"/>
              </w:rPr>
              <w:t>/</w:t>
            </w:r>
          </w:p>
        </w:tc>
        <w:tc>
          <w:tcPr>
            <w:tcW w:w="990" w:type="dxa"/>
            <w:vAlign w:val="center"/>
          </w:tcPr>
          <w:p>
            <w:pPr>
              <w:snapToGrid w:val="0"/>
              <w:spacing w:line="240" w:lineRule="auto"/>
              <w:jc w:val="center"/>
              <w:rPr>
                <w:b/>
                <w:sz w:val="16"/>
                <w:szCs w:val="16"/>
                <w:highlight w:val="yellow"/>
              </w:rPr>
            </w:pPr>
            <w:r>
              <w:rPr>
                <w:b/>
                <w:sz w:val="16"/>
                <w:szCs w:val="16"/>
              </w:rPr>
              <w:t>/</w:t>
            </w:r>
          </w:p>
        </w:tc>
        <w:tc>
          <w:tcPr>
            <w:tcW w:w="8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742" w:type="dxa"/>
            <w:vAlign w:val="center"/>
          </w:tcPr>
          <w:p>
            <w:pPr>
              <w:snapToGrid w:val="0"/>
              <w:spacing w:line="240" w:lineRule="auto"/>
              <w:jc w:val="center"/>
              <w:rPr>
                <w:b/>
                <w:sz w:val="16"/>
                <w:szCs w:val="16"/>
              </w:rPr>
            </w:pPr>
            <w:r>
              <w:rPr>
                <w:b/>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8" w:type="dxa"/>
            <w:vMerge w:val="continue"/>
            <w:vAlign w:val="center"/>
          </w:tcPr>
          <w:p>
            <w:pPr>
              <w:snapToGrid w:val="0"/>
              <w:spacing w:line="240" w:lineRule="auto"/>
              <w:jc w:val="center"/>
              <w:rPr>
                <w:b/>
                <w:sz w:val="16"/>
                <w:szCs w:val="16"/>
              </w:rPr>
            </w:pPr>
          </w:p>
        </w:tc>
        <w:tc>
          <w:tcPr>
            <w:tcW w:w="1849" w:type="dxa"/>
            <w:gridSpan w:val="2"/>
            <w:vAlign w:val="center"/>
          </w:tcPr>
          <w:p>
            <w:pPr>
              <w:snapToGrid w:val="0"/>
              <w:spacing w:line="240" w:lineRule="auto"/>
              <w:jc w:val="center"/>
              <w:rPr>
                <w:b/>
                <w:sz w:val="16"/>
                <w:szCs w:val="16"/>
              </w:rPr>
            </w:pPr>
            <w:r>
              <w:rPr>
                <w:b/>
                <w:sz w:val="16"/>
                <w:szCs w:val="16"/>
              </w:rPr>
              <w:t>工业粉尘</w:t>
            </w:r>
          </w:p>
        </w:tc>
        <w:tc>
          <w:tcPr>
            <w:tcW w:w="699" w:type="dxa"/>
            <w:vAlign w:val="center"/>
          </w:tcPr>
          <w:p>
            <w:pPr>
              <w:snapToGrid w:val="0"/>
              <w:spacing w:line="240" w:lineRule="auto"/>
              <w:jc w:val="center"/>
              <w:rPr>
                <w:b/>
                <w:sz w:val="16"/>
                <w:szCs w:val="16"/>
                <w:highlight w:val="yellow"/>
              </w:rPr>
            </w:pPr>
            <w:r>
              <w:rPr>
                <w:b/>
                <w:sz w:val="16"/>
                <w:szCs w:val="16"/>
              </w:rPr>
              <w:t>/</w:t>
            </w:r>
          </w:p>
        </w:tc>
        <w:tc>
          <w:tcPr>
            <w:tcW w:w="1170" w:type="dxa"/>
            <w:vAlign w:val="center"/>
          </w:tcPr>
          <w:p>
            <w:pPr>
              <w:snapToGrid w:val="0"/>
              <w:spacing w:line="240" w:lineRule="auto"/>
              <w:jc w:val="center"/>
              <w:rPr>
                <w:b/>
                <w:sz w:val="16"/>
                <w:szCs w:val="16"/>
                <w:highlight w:val="yellow"/>
              </w:rPr>
            </w:pPr>
            <w:r>
              <w:rPr>
                <w:b/>
                <w:sz w:val="16"/>
                <w:szCs w:val="16"/>
              </w:rPr>
              <w:t>/</w:t>
            </w:r>
          </w:p>
        </w:tc>
        <w:tc>
          <w:tcPr>
            <w:tcW w:w="1185" w:type="dxa"/>
            <w:vAlign w:val="center"/>
          </w:tcPr>
          <w:p>
            <w:pPr>
              <w:snapToGrid w:val="0"/>
              <w:spacing w:line="240" w:lineRule="auto"/>
              <w:jc w:val="center"/>
              <w:rPr>
                <w:b/>
                <w:sz w:val="16"/>
                <w:szCs w:val="16"/>
                <w:highlight w:val="yellow"/>
              </w:rPr>
            </w:pPr>
            <w:r>
              <w:rPr>
                <w:b/>
                <w:sz w:val="16"/>
                <w:szCs w:val="16"/>
              </w:rPr>
              <w:t>/</w:t>
            </w:r>
          </w:p>
        </w:tc>
        <w:tc>
          <w:tcPr>
            <w:tcW w:w="1050" w:type="dxa"/>
            <w:vAlign w:val="center"/>
          </w:tcPr>
          <w:p>
            <w:pPr>
              <w:snapToGrid w:val="0"/>
              <w:spacing w:line="240" w:lineRule="auto"/>
              <w:jc w:val="center"/>
              <w:rPr>
                <w:b/>
                <w:sz w:val="16"/>
                <w:szCs w:val="16"/>
                <w:highlight w:val="yellow"/>
              </w:rPr>
            </w:pPr>
            <w:r>
              <w:rPr>
                <w:b/>
                <w:sz w:val="16"/>
                <w:szCs w:val="16"/>
              </w:rPr>
              <w:t>/</w:t>
            </w:r>
          </w:p>
        </w:tc>
        <w:tc>
          <w:tcPr>
            <w:tcW w:w="1125" w:type="dxa"/>
            <w:vAlign w:val="center"/>
          </w:tcPr>
          <w:p>
            <w:pPr>
              <w:snapToGrid w:val="0"/>
              <w:spacing w:line="240" w:lineRule="auto"/>
              <w:jc w:val="center"/>
              <w:rPr>
                <w:b/>
                <w:sz w:val="16"/>
                <w:szCs w:val="16"/>
                <w:highlight w:val="yellow"/>
              </w:rPr>
            </w:pPr>
            <w:r>
              <w:rPr>
                <w:b/>
                <w:sz w:val="16"/>
                <w:szCs w:val="16"/>
              </w:rPr>
              <w:t>/</w:t>
            </w:r>
          </w:p>
        </w:tc>
        <w:tc>
          <w:tcPr>
            <w:tcW w:w="1184" w:type="dxa"/>
            <w:vAlign w:val="center"/>
          </w:tcPr>
          <w:p>
            <w:pPr>
              <w:snapToGrid w:val="0"/>
              <w:spacing w:line="240" w:lineRule="auto"/>
              <w:jc w:val="center"/>
              <w:rPr>
                <w:b/>
                <w:sz w:val="16"/>
                <w:szCs w:val="16"/>
                <w:highlight w:val="yellow"/>
              </w:rPr>
            </w:pPr>
            <w:r>
              <w:rPr>
                <w:b/>
                <w:sz w:val="16"/>
                <w:szCs w:val="16"/>
              </w:rPr>
              <w:t>/</w:t>
            </w:r>
          </w:p>
        </w:tc>
        <w:tc>
          <w:tcPr>
            <w:tcW w:w="961" w:type="dxa"/>
            <w:vAlign w:val="center"/>
          </w:tcPr>
          <w:p>
            <w:pPr>
              <w:snapToGrid w:val="0"/>
              <w:spacing w:line="240" w:lineRule="auto"/>
              <w:jc w:val="center"/>
              <w:rPr>
                <w:b/>
                <w:sz w:val="16"/>
                <w:szCs w:val="16"/>
                <w:highlight w:val="yellow"/>
              </w:rPr>
            </w:pPr>
            <w:r>
              <w:rPr>
                <w:b/>
                <w:sz w:val="16"/>
                <w:szCs w:val="16"/>
              </w:rPr>
              <w:t>/</w:t>
            </w:r>
          </w:p>
        </w:tc>
        <w:tc>
          <w:tcPr>
            <w:tcW w:w="1065" w:type="dxa"/>
            <w:vAlign w:val="center"/>
          </w:tcPr>
          <w:p>
            <w:pPr>
              <w:snapToGrid w:val="0"/>
              <w:spacing w:line="240" w:lineRule="auto"/>
              <w:jc w:val="center"/>
              <w:rPr>
                <w:b/>
                <w:sz w:val="16"/>
                <w:szCs w:val="16"/>
                <w:highlight w:val="yellow"/>
              </w:rPr>
            </w:pPr>
            <w:r>
              <w:rPr>
                <w:b/>
                <w:sz w:val="16"/>
                <w:szCs w:val="16"/>
              </w:rPr>
              <w:t>/</w:t>
            </w:r>
          </w:p>
        </w:tc>
        <w:tc>
          <w:tcPr>
            <w:tcW w:w="990" w:type="dxa"/>
            <w:vAlign w:val="center"/>
          </w:tcPr>
          <w:p>
            <w:pPr>
              <w:snapToGrid w:val="0"/>
              <w:spacing w:line="240" w:lineRule="auto"/>
              <w:jc w:val="center"/>
              <w:rPr>
                <w:b/>
                <w:sz w:val="16"/>
                <w:szCs w:val="16"/>
                <w:highlight w:val="yellow"/>
              </w:rPr>
            </w:pPr>
            <w:r>
              <w:rPr>
                <w:b/>
                <w:sz w:val="16"/>
                <w:szCs w:val="16"/>
              </w:rPr>
              <w:t>/</w:t>
            </w:r>
          </w:p>
        </w:tc>
        <w:tc>
          <w:tcPr>
            <w:tcW w:w="8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742" w:type="dxa"/>
            <w:vAlign w:val="center"/>
          </w:tcPr>
          <w:p>
            <w:pPr>
              <w:snapToGrid w:val="0"/>
              <w:spacing w:line="240" w:lineRule="auto"/>
              <w:jc w:val="center"/>
              <w:rPr>
                <w:b/>
                <w:sz w:val="16"/>
                <w:szCs w:val="16"/>
              </w:rPr>
            </w:pPr>
            <w:r>
              <w:rPr>
                <w:b/>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8" w:type="dxa"/>
            <w:vMerge w:val="continue"/>
            <w:vAlign w:val="center"/>
          </w:tcPr>
          <w:p>
            <w:pPr>
              <w:snapToGrid w:val="0"/>
              <w:spacing w:line="240" w:lineRule="auto"/>
              <w:jc w:val="center"/>
              <w:rPr>
                <w:b/>
                <w:sz w:val="16"/>
                <w:szCs w:val="16"/>
              </w:rPr>
            </w:pPr>
          </w:p>
        </w:tc>
        <w:tc>
          <w:tcPr>
            <w:tcW w:w="1849" w:type="dxa"/>
            <w:gridSpan w:val="2"/>
            <w:vAlign w:val="center"/>
          </w:tcPr>
          <w:p>
            <w:pPr>
              <w:snapToGrid w:val="0"/>
              <w:spacing w:line="240" w:lineRule="auto"/>
              <w:jc w:val="center"/>
              <w:rPr>
                <w:b/>
                <w:sz w:val="16"/>
                <w:szCs w:val="16"/>
              </w:rPr>
            </w:pPr>
            <w:r>
              <w:rPr>
                <w:b/>
                <w:sz w:val="16"/>
                <w:szCs w:val="16"/>
              </w:rPr>
              <w:t>固体废物</w:t>
            </w:r>
          </w:p>
        </w:tc>
        <w:tc>
          <w:tcPr>
            <w:tcW w:w="699" w:type="dxa"/>
            <w:vAlign w:val="center"/>
          </w:tcPr>
          <w:p>
            <w:pPr>
              <w:snapToGrid w:val="0"/>
              <w:spacing w:line="240" w:lineRule="auto"/>
              <w:jc w:val="center"/>
              <w:rPr>
                <w:b/>
                <w:sz w:val="16"/>
                <w:szCs w:val="16"/>
              </w:rPr>
            </w:pPr>
            <w:r>
              <w:rPr>
                <w:b/>
                <w:sz w:val="16"/>
                <w:szCs w:val="16"/>
              </w:rPr>
              <w:t>/</w:t>
            </w:r>
          </w:p>
        </w:tc>
        <w:tc>
          <w:tcPr>
            <w:tcW w:w="1170" w:type="dxa"/>
            <w:vAlign w:val="center"/>
          </w:tcPr>
          <w:p>
            <w:pPr>
              <w:snapToGrid w:val="0"/>
              <w:spacing w:line="240" w:lineRule="auto"/>
              <w:jc w:val="center"/>
              <w:rPr>
                <w:b/>
                <w:sz w:val="16"/>
                <w:szCs w:val="16"/>
              </w:rPr>
            </w:pPr>
            <w:r>
              <w:rPr>
                <w:b/>
                <w:sz w:val="16"/>
                <w:szCs w:val="16"/>
              </w:rPr>
              <w:t>/</w:t>
            </w:r>
          </w:p>
        </w:tc>
        <w:tc>
          <w:tcPr>
            <w:tcW w:w="11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highlight w:val="yellow"/>
              </w:rPr>
            </w:pPr>
            <w:r>
              <w:rPr>
                <w:b/>
                <w:sz w:val="16"/>
                <w:szCs w:val="16"/>
              </w:rPr>
              <w:t>/</w:t>
            </w:r>
          </w:p>
        </w:tc>
        <w:tc>
          <w:tcPr>
            <w:tcW w:w="1125" w:type="dxa"/>
            <w:vAlign w:val="center"/>
          </w:tcPr>
          <w:p>
            <w:pPr>
              <w:snapToGrid w:val="0"/>
              <w:spacing w:line="240" w:lineRule="auto"/>
              <w:jc w:val="center"/>
              <w:rPr>
                <w:b/>
                <w:sz w:val="16"/>
                <w:szCs w:val="16"/>
                <w:highlight w:val="yellow"/>
              </w:rPr>
            </w:pPr>
            <w:r>
              <w:rPr>
                <w:b/>
                <w:sz w:val="16"/>
                <w:szCs w:val="16"/>
              </w:rPr>
              <w:t>/</w:t>
            </w:r>
          </w:p>
        </w:tc>
        <w:tc>
          <w:tcPr>
            <w:tcW w:w="1184" w:type="dxa"/>
            <w:vAlign w:val="center"/>
          </w:tcPr>
          <w:p>
            <w:pPr>
              <w:snapToGrid w:val="0"/>
              <w:spacing w:line="240" w:lineRule="auto"/>
              <w:jc w:val="center"/>
              <w:rPr>
                <w:b/>
                <w:sz w:val="16"/>
                <w:szCs w:val="16"/>
                <w:highlight w:val="yellow"/>
              </w:rPr>
            </w:pPr>
            <w:r>
              <w:rPr>
                <w:b/>
                <w:sz w:val="16"/>
                <w:szCs w:val="16"/>
              </w:rPr>
              <w:t>/</w:t>
            </w:r>
          </w:p>
        </w:tc>
        <w:tc>
          <w:tcPr>
            <w:tcW w:w="961" w:type="dxa"/>
            <w:vAlign w:val="center"/>
          </w:tcPr>
          <w:p>
            <w:pPr>
              <w:snapToGrid w:val="0"/>
              <w:spacing w:line="240" w:lineRule="auto"/>
              <w:jc w:val="center"/>
              <w:rPr>
                <w:b/>
                <w:sz w:val="16"/>
                <w:szCs w:val="16"/>
                <w:highlight w:val="yellow"/>
              </w:rPr>
            </w:pPr>
            <w:r>
              <w:rPr>
                <w:b/>
                <w:sz w:val="16"/>
                <w:szCs w:val="16"/>
              </w:rPr>
              <w:t>/</w:t>
            </w:r>
          </w:p>
        </w:tc>
        <w:tc>
          <w:tcPr>
            <w:tcW w:w="1065" w:type="dxa"/>
            <w:vAlign w:val="center"/>
          </w:tcPr>
          <w:p>
            <w:pPr>
              <w:snapToGrid w:val="0"/>
              <w:spacing w:line="240" w:lineRule="auto"/>
              <w:jc w:val="center"/>
              <w:rPr>
                <w:b/>
                <w:sz w:val="16"/>
                <w:szCs w:val="16"/>
                <w:highlight w:val="yellow"/>
              </w:rPr>
            </w:pPr>
            <w:r>
              <w:rPr>
                <w:b/>
                <w:sz w:val="16"/>
                <w:szCs w:val="16"/>
              </w:rPr>
              <w:t>/</w:t>
            </w:r>
          </w:p>
        </w:tc>
        <w:tc>
          <w:tcPr>
            <w:tcW w:w="990" w:type="dxa"/>
            <w:vAlign w:val="center"/>
          </w:tcPr>
          <w:p>
            <w:pPr>
              <w:snapToGrid w:val="0"/>
              <w:spacing w:line="240" w:lineRule="auto"/>
              <w:jc w:val="center"/>
              <w:rPr>
                <w:b/>
                <w:sz w:val="16"/>
                <w:szCs w:val="16"/>
                <w:highlight w:val="yellow"/>
              </w:rPr>
            </w:pPr>
            <w:r>
              <w:rPr>
                <w:b/>
                <w:sz w:val="16"/>
                <w:szCs w:val="16"/>
              </w:rPr>
              <w:t>/</w:t>
            </w:r>
          </w:p>
        </w:tc>
        <w:tc>
          <w:tcPr>
            <w:tcW w:w="8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742" w:type="dxa"/>
            <w:vAlign w:val="center"/>
          </w:tcPr>
          <w:p>
            <w:pPr>
              <w:snapToGrid w:val="0"/>
              <w:spacing w:line="240" w:lineRule="auto"/>
              <w:jc w:val="center"/>
              <w:rPr>
                <w:b/>
                <w:sz w:val="16"/>
                <w:szCs w:val="16"/>
              </w:rPr>
            </w:pPr>
            <w:r>
              <w:rPr>
                <w:b/>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8" w:type="dxa"/>
            <w:vMerge w:val="continue"/>
            <w:vAlign w:val="center"/>
          </w:tcPr>
          <w:p>
            <w:pPr>
              <w:snapToGrid w:val="0"/>
              <w:spacing w:line="240" w:lineRule="auto"/>
              <w:jc w:val="center"/>
              <w:rPr>
                <w:b/>
                <w:sz w:val="16"/>
                <w:szCs w:val="16"/>
              </w:rPr>
            </w:pPr>
          </w:p>
        </w:tc>
        <w:tc>
          <w:tcPr>
            <w:tcW w:w="689" w:type="dxa"/>
            <w:vMerge w:val="restart"/>
            <w:vAlign w:val="center"/>
          </w:tcPr>
          <w:p>
            <w:pPr>
              <w:snapToGrid w:val="0"/>
              <w:spacing w:line="240" w:lineRule="auto"/>
              <w:jc w:val="center"/>
              <w:rPr>
                <w:rFonts w:eastAsia="黑体"/>
                <w:b/>
                <w:sz w:val="16"/>
                <w:szCs w:val="16"/>
              </w:rPr>
            </w:pPr>
            <w:r>
              <w:rPr>
                <w:b/>
                <w:sz w:val="16"/>
                <w:szCs w:val="16"/>
              </w:rPr>
              <w:t>关与项目有的其它特征污染物</w:t>
            </w:r>
          </w:p>
        </w:tc>
        <w:tc>
          <w:tcPr>
            <w:tcW w:w="1160" w:type="dxa"/>
            <w:vAlign w:val="center"/>
          </w:tcPr>
          <w:p>
            <w:pPr>
              <w:snapToGrid w:val="0"/>
              <w:spacing w:line="240" w:lineRule="auto"/>
              <w:jc w:val="center"/>
              <w:rPr>
                <w:rFonts w:eastAsia="黑体"/>
                <w:b/>
                <w:sz w:val="16"/>
                <w:szCs w:val="16"/>
              </w:rPr>
            </w:pPr>
            <w:r>
              <w:rPr>
                <w:rFonts w:hint="eastAsia" w:eastAsia="黑体"/>
                <w:b/>
                <w:sz w:val="16"/>
                <w:szCs w:val="16"/>
              </w:rPr>
              <w:t>/</w:t>
            </w:r>
          </w:p>
        </w:tc>
        <w:tc>
          <w:tcPr>
            <w:tcW w:w="699" w:type="dxa"/>
            <w:vAlign w:val="center"/>
          </w:tcPr>
          <w:p>
            <w:pPr>
              <w:snapToGrid w:val="0"/>
              <w:spacing w:line="240" w:lineRule="auto"/>
              <w:jc w:val="center"/>
              <w:rPr>
                <w:b/>
                <w:sz w:val="16"/>
                <w:szCs w:val="16"/>
              </w:rPr>
            </w:pPr>
            <w:r>
              <w:rPr>
                <w:b/>
                <w:sz w:val="16"/>
                <w:szCs w:val="16"/>
              </w:rPr>
              <w:t>/</w:t>
            </w:r>
          </w:p>
        </w:tc>
        <w:tc>
          <w:tcPr>
            <w:tcW w:w="1170" w:type="dxa"/>
            <w:vAlign w:val="center"/>
          </w:tcPr>
          <w:p>
            <w:pPr>
              <w:snapToGrid w:val="0"/>
              <w:spacing w:line="240" w:lineRule="auto"/>
              <w:jc w:val="center"/>
              <w:rPr>
                <w:b/>
                <w:sz w:val="16"/>
                <w:szCs w:val="16"/>
              </w:rPr>
            </w:pPr>
            <w:r>
              <w:rPr>
                <w:b/>
                <w:sz w:val="16"/>
                <w:szCs w:val="16"/>
              </w:rPr>
              <w:t>/</w:t>
            </w:r>
          </w:p>
        </w:tc>
        <w:tc>
          <w:tcPr>
            <w:tcW w:w="11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highlight w:val="yellow"/>
              </w:rPr>
            </w:pPr>
            <w:r>
              <w:rPr>
                <w:b/>
                <w:sz w:val="16"/>
                <w:szCs w:val="16"/>
              </w:rPr>
              <w:t>/</w:t>
            </w:r>
          </w:p>
        </w:tc>
        <w:tc>
          <w:tcPr>
            <w:tcW w:w="1125" w:type="dxa"/>
            <w:vAlign w:val="center"/>
          </w:tcPr>
          <w:p>
            <w:pPr>
              <w:snapToGrid w:val="0"/>
              <w:spacing w:line="240" w:lineRule="auto"/>
              <w:jc w:val="center"/>
              <w:rPr>
                <w:b/>
                <w:sz w:val="16"/>
                <w:szCs w:val="16"/>
                <w:highlight w:val="yellow"/>
              </w:rPr>
            </w:pPr>
            <w:r>
              <w:rPr>
                <w:b/>
                <w:sz w:val="16"/>
                <w:szCs w:val="16"/>
              </w:rPr>
              <w:t>/</w:t>
            </w:r>
          </w:p>
        </w:tc>
        <w:tc>
          <w:tcPr>
            <w:tcW w:w="1184" w:type="dxa"/>
            <w:vAlign w:val="center"/>
          </w:tcPr>
          <w:p>
            <w:pPr>
              <w:snapToGrid w:val="0"/>
              <w:spacing w:line="240" w:lineRule="auto"/>
              <w:jc w:val="center"/>
              <w:rPr>
                <w:b/>
                <w:sz w:val="16"/>
                <w:szCs w:val="16"/>
                <w:highlight w:val="yellow"/>
              </w:rPr>
            </w:pPr>
            <w:r>
              <w:rPr>
                <w:b/>
                <w:sz w:val="16"/>
                <w:szCs w:val="16"/>
              </w:rPr>
              <w:t>/</w:t>
            </w:r>
          </w:p>
        </w:tc>
        <w:tc>
          <w:tcPr>
            <w:tcW w:w="961" w:type="dxa"/>
            <w:vAlign w:val="center"/>
          </w:tcPr>
          <w:p>
            <w:pPr>
              <w:snapToGrid w:val="0"/>
              <w:spacing w:line="240" w:lineRule="auto"/>
              <w:jc w:val="center"/>
              <w:rPr>
                <w:b/>
                <w:sz w:val="16"/>
                <w:szCs w:val="16"/>
                <w:highlight w:val="yellow"/>
              </w:rPr>
            </w:pPr>
            <w:r>
              <w:rPr>
                <w:b/>
                <w:sz w:val="16"/>
                <w:szCs w:val="16"/>
              </w:rPr>
              <w:t>/</w:t>
            </w:r>
          </w:p>
        </w:tc>
        <w:tc>
          <w:tcPr>
            <w:tcW w:w="1065" w:type="dxa"/>
            <w:vAlign w:val="center"/>
          </w:tcPr>
          <w:p>
            <w:pPr>
              <w:snapToGrid w:val="0"/>
              <w:spacing w:line="240" w:lineRule="auto"/>
              <w:jc w:val="center"/>
              <w:rPr>
                <w:b/>
                <w:sz w:val="16"/>
                <w:szCs w:val="16"/>
                <w:highlight w:val="yellow"/>
              </w:rPr>
            </w:pPr>
            <w:r>
              <w:rPr>
                <w:b/>
                <w:sz w:val="16"/>
                <w:szCs w:val="16"/>
              </w:rPr>
              <w:t>/</w:t>
            </w:r>
          </w:p>
        </w:tc>
        <w:tc>
          <w:tcPr>
            <w:tcW w:w="990" w:type="dxa"/>
            <w:vAlign w:val="center"/>
          </w:tcPr>
          <w:p>
            <w:pPr>
              <w:snapToGrid w:val="0"/>
              <w:spacing w:line="240" w:lineRule="auto"/>
              <w:jc w:val="center"/>
              <w:rPr>
                <w:b/>
                <w:sz w:val="16"/>
                <w:szCs w:val="16"/>
                <w:highlight w:val="yellow"/>
              </w:rPr>
            </w:pPr>
            <w:r>
              <w:rPr>
                <w:b/>
                <w:sz w:val="16"/>
                <w:szCs w:val="16"/>
              </w:rPr>
              <w:t>/</w:t>
            </w:r>
          </w:p>
        </w:tc>
        <w:tc>
          <w:tcPr>
            <w:tcW w:w="8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742" w:type="dxa"/>
            <w:vAlign w:val="center"/>
          </w:tcPr>
          <w:p>
            <w:pPr>
              <w:snapToGrid w:val="0"/>
              <w:spacing w:line="240" w:lineRule="auto"/>
              <w:jc w:val="center"/>
              <w:rPr>
                <w:b/>
                <w:sz w:val="16"/>
                <w:szCs w:val="16"/>
              </w:rPr>
            </w:pPr>
            <w:r>
              <w:rPr>
                <w:b/>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8" w:type="dxa"/>
            <w:vMerge w:val="continue"/>
            <w:vAlign w:val="center"/>
          </w:tcPr>
          <w:p>
            <w:pPr>
              <w:snapToGrid w:val="0"/>
              <w:spacing w:line="240" w:lineRule="auto"/>
              <w:jc w:val="center"/>
              <w:rPr>
                <w:b/>
                <w:sz w:val="16"/>
                <w:szCs w:val="16"/>
              </w:rPr>
            </w:pPr>
          </w:p>
        </w:tc>
        <w:tc>
          <w:tcPr>
            <w:tcW w:w="689" w:type="dxa"/>
            <w:vMerge w:val="continue"/>
            <w:vAlign w:val="center"/>
          </w:tcPr>
          <w:p>
            <w:pPr>
              <w:snapToGrid w:val="0"/>
              <w:spacing w:line="240" w:lineRule="auto"/>
              <w:jc w:val="center"/>
              <w:rPr>
                <w:rFonts w:eastAsia="黑体"/>
                <w:b/>
                <w:sz w:val="16"/>
                <w:szCs w:val="16"/>
              </w:rPr>
            </w:pPr>
          </w:p>
        </w:tc>
        <w:tc>
          <w:tcPr>
            <w:tcW w:w="1160" w:type="dxa"/>
            <w:vAlign w:val="center"/>
          </w:tcPr>
          <w:p>
            <w:pPr>
              <w:snapToGrid w:val="0"/>
              <w:spacing w:line="240" w:lineRule="auto"/>
              <w:jc w:val="center"/>
              <w:rPr>
                <w:rFonts w:eastAsia="黑体"/>
                <w:b/>
                <w:sz w:val="16"/>
                <w:szCs w:val="16"/>
              </w:rPr>
            </w:pPr>
            <w:r>
              <w:rPr>
                <w:rFonts w:eastAsia="黑体"/>
                <w:b/>
                <w:sz w:val="16"/>
                <w:szCs w:val="16"/>
              </w:rPr>
              <w:t>/</w:t>
            </w:r>
          </w:p>
        </w:tc>
        <w:tc>
          <w:tcPr>
            <w:tcW w:w="699" w:type="dxa"/>
            <w:vAlign w:val="center"/>
          </w:tcPr>
          <w:p>
            <w:pPr>
              <w:snapToGrid w:val="0"/>
              <w:spacing w:line="240" w:lineRule="auto"/>
              <w:jc w:val="center"/>
              <w:rPr>
                <w:b/>
                <w:sz w:val="16"/>
                <w:szCs w:val="16"/>
              </w:rPr>
            </w:pPr>
            <w:r>
              <w:rPr>
                <w:b/>
                <w:sz w:val="16"/>
                <w:szCs w:val="16"/>
              </w:rPr>
              <w:t>/</w:t>
            </w:r>
          </w:p>
        </w:tc>
        <w:tc>
          <w:tcPr>
            <w:tcW w:w="1170" w:type="dxa"/>
            <w:vAlign w:val="center"/>
          </w:tcPr>
          <w:p>
            <w:pPr>
              <w:snapToGrid w:val="0"/>
              <w:spacing w:line="240" w:lineRule="auto"/>
              <w:jc w:val="center"/>
              <w:rPr>
                <w:b/>
                <w:sz w:val="16"/>
                <w:szCs w:val="16"/>
              </w:rPr>
            </w:pPr>
            <w:r>
              <w:rPr>
                <w:b/>
                <w:sz w:val="16"/>
                <w:szCs w:val="16"/>
              </w:rPr>
              <w:t>/</w:t>
            </w:r>
          </w:p>
        </w:tc>
        <w:tc>
          <w:tcPr>
            <w:tcW w:w="11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1125" w:type="dxa"/>
            <w:vAlign w:val="center"/>
          </w:tcPr>
          <w:p>
            <w:pPr>
              <w:snapToGrid w:val="0"/>
              <w:spacing w:line="240" w:lineRule="auto"/>
              <w:jc w:val="center"/>
              <w:rPr>
                <w:b/>
                <w:sz w:val="16"/>
                <w:szCs w:val="16"/>
              </w:rPr>
            </w:pPr>
            <w:r>
              <w:rPr>
                <w:b/>
                <w:sz w:val="16"/>
                <w:szCs w:val="16"/>
              </w:rPr>
              <w:t>/</w:t>
            </w:r>
          </w:p>
        </w:tc>
        <w:tc>
          <w:tcPr>
            <w:tcW w:w="1184" w:type="dxa"/>
            <w:vAlign w:val="center"/>
          </w:tcPr>
          <w:p>
            <w:pPr>
              <w:snapToGrid w:val="0"/>
              <w:spacing w:line="240" w:lineRule="auto"/>
              <w:jc w:val="center"/>
              <w:rPr>
                <w:b/>
                <w:sz w:val="16"/>
                <w:szCs w:val="16"/>
              </w:rPr>
            </w:pPr>
            <w:r>
              <w:rPr>
                <w:b/>
                <w:sz w:val="16"/>
                <w:szCs w:val="16"/>
              </w:rPr>
              <w:t>/</w:t>
            </w:r>
          </w:p>
        </w:tc>
        <w:tc>
          <w:tcPr>
            <w:tcW w:w="961" w:type="dxa"/>
            <w:vAlign w:val="center"/>
          </w:tcPr>
          <w:p>
            <w:pPr>
              <w:snapToGrid w:val="0"/>
              <w:spacing w:line="240" w:lineRule="auto"/>
              <w:jc w:val="center"/>
              <w:rPr>
                <w:b/>
                <w:sz w:val="16"/>
                <w:szCs w:val="16"/>
              </w:rPr>
            </w:pPr>
            <w:r>
              <w:rPr>
                <w:b/>
                <w:sz w:val="16"/>
                <w:szCs w:val="16"/>
              </w:rPr>
              <w:t>/</w:t>
            </w:r>
          </w:p>
        </w:tc>
        <w:tc>
          <w:tcPr>
            <w:tcW w:w="1065" w:type="dxa"/>
            <w:vAlign w:val="center"/>
          </w:tcPr>
          <w:p>
            <w:pPr>
              <w:snapToGrid w:val="0"/>
              <w:spacing w:line="240" w:lineRule="auto"/>
              <w:jc w:val="center"/>
              <w:rPr>
                <w:b/>
                <w:sz w:val="16"/>
                <w:szCs w:val="16"/>
              </w:rPr>
            </w:pPr>
            <w:r>
              <w:rPr>
                <w:b/>
                <w:sz w:val="16"/>
                <w:szCs w:val="16"/>
              </w:rPr>
              <w:t>/</w:t>
            </w:r>
          </w:p>
        </w:tc>
        <w:tc>
          <w:tcPr>
            <w:tcW w:w="990" w:type="dxa"/>
            <w:vAlign w:val="center"/>
          </w:tcPr>
          <w:p>
            <w:pPr>
              <w:snapToGrid w:val="0"/>
              <w:spacing w:line="240" w:lineRule="auto"/>
              <w:jc w:val="center"/>
              <w:rPr>
                <w:b/>
                <w:sz w:val="16"/>
                <w:szCs w:val="16"/>
              </w:rPr>
            </w:pPr>
            <w:r>
              <w:rPr>
                <w:b/>
                <w:sz w:val="16"/>
                <w:szCs w:val="16"/>
              </w:rPr>
              <w:t>/</w:t>
            </w:r>
          </w:p>
        </w:tc>
        <w:tc>
          <w:tcPr>
            <w:tcW w:w="8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742" w:type="dxa"/>
            <w:vAlign w:val="center"/>
          </w:tcPr>
          <w:p>
            <w:pPr>
              <w:snapToGrid w:val="0"/>
              <w:spacing w:line="240" w:lineRule="auto"/>
              <w:jc w:val="center"/>
              <w:rPr>
                <w:b/>
                <w:sz w:val="16"/>
                <w:szCs w:val="16"/>
              </w:rPr>
            </w:pPr>
            <w:r>
              <w:rPr>
                <w:b/>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8" w:type="dxa"/>
            <w:vMerge w:val="continue"/>
            <w:vAlign w:val="center"/>
          </w:tcPr>
          <w:p>
            <w:pPr>
              <w:snapToGrid w:val="0"/>
              <w:spacing w:line="240" w:lineRule="auto"/>
              <w:jc w:val="center"/>
              <w:rPr>
                <w:b/>
                <w:sz w:val="16"/>
                <w:szCs w:val="16"/>
              </w:rPr>
            </w:pPr>
          </w:p>
        </w:tc>
        <w:tc>
          <w:tcPr>
            <w:tcW w:w="689" w:type="dxa"/>
            <w:vMerge w:val="continue"/>
            <w:vAlign w:val="center"/>
          </w:tcPr>
          <w:p>
            <w:pPr>
              <w:snapToGrid w:val="0"/>
              <w:spacing w:line="240" w:lineRule="auto"/>
              <w:jc w:val="center"/>
              <w:rPr>
                <w:rFonts w:eastAsia="黑体"/>
                <w:b/>
                <w:sz w:val="16"/>
                <w:szCs w:val="16"/>
              </w:rPr>
            </w:pPr>
          </w:p>
        </w:tc>
        <w:tc>
          <w:tcPr>
            <w:tcW w:w="1160" w:type="dxa"/>
            <w:vAlign w:val="center"/>
          </w:tcPr>
          <w:p>
            <w:pPr>
              <w:snapToGrid w:val="0"/>
              <w:spacing w:line="240" w:lineRule="auto"/>
              <w:jc w:val="center"/>
              <w:rPr>
                <w:rFonts w:eastAsia="黑体"/>
                <w:b/>
                <w:sz w:val="16"/>
                <w:szCs w:val="16"/>
              </w:rPr>
            </w:pPr>
            <w:r>
              <w:rPr>
                <w:rFonts w:eastAsia="黑体"/>
                <w:b/>
                <w:sz w:val="16"/>
                <w:szCs w:val="16"/>
              </w:rPr>
              <w:t>/</w:t>
            </w:r>
          </w:p>
        </w:tc>
        <w:tc>
          <w:tcPr>
            <w:tcW w:w="699" w:type="dxa"/>
            <w:vAlign w:val="center"/>
          </w:tcPr>
          <w:p>
            <w:pPr>
              <w:snapToGrid w:val="0"/>
              <w:spacing w:line="240" w:lineRule="auto"/>
              <w:jc w:val="center"/>
              <w:rPr>
                <w:b/>
                <w:sz w:val="16"/>
                <w:szCs w:val="16"/>
              </w:rPr>
            </w:pPr>
            <w:r>
              <w:rPr>
                <w:b/>
                <w:sz w:val="16"/>
                <w:szCs w:val="16"/>
              </w:rPr>
              <w:t>/</w:t>
            </w:r>
          </w:p>
        </w:tc>
        <w:tc>
          <w:tcPr>
            <w:tcW w:w="1170" w:type="dxa"/>
            <w:vAlign w:val="center"/>
          </w:tcPr>
          <w:p>
            <w:pPr>
              <w:snapToGrid w:val="0"/>
              <w:spacing w:line="240" w:lineRule="auto"/>
              <w:jc w:val="center"/>
              <w:rPr>
                <w:b/>
                <w:sz w:val="16"/>
                <w:szCs w:val="16"/>
              </w:rPr>
            </w:pPr>
            <w:r>
              <w:rPr>
                <w:b/>
                <w:sz w:val="16"/>
                <w:szCs w:val="16"/>
              </w:rPr>
              <w:t>/</w:t>
            </w:r>
          </w:p>
        </w:tc>
        <w:tc>
          <w:tcPr>
            <w:tcW w:w="11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1125" w:type="dxa"/>
            <w:vAlign w:val="center"/>
          </w:tcPr>
          <w:p>
            <w:pPr>
              <w:snapToGrid w:val="0"/>
              <w:spacing w:line="240" w:lineRule="auto"/>
              <w:jc w:val="center"/>
              <w:rPr>
                <w:b/>
                <w:sz w:val="16"/>
                <w:szCs w:val="16"/>
              </w:rPr>
            </w:pPr>
            <w:r>
              <w:rPr>
                <w:b/>
                <w:sz w:val="16"/>
                <w:szCs w:val="16"/>
              </w:rPr>
              <w:t>/</w:t>
            </w:r>
          </w:p>
        </w:tc>
        <w:tc>
          <w:tcPr>
            <w:tcW w:w="1184" w:type="dxa"/>
            <w:vAlign w:val="center"/>
          </w:tcPr>
          <w:p>
            <w:pPr>
              <w:snapToGrid w:val="0"/>
              <w:spacing w:line="240" w:lineRule="auto"/>
              <w:jc w:val="center"/>
              <w:rPr>
                <w:b/>
                <w:sz w:val="16"/>
                <w:szCs w:val="16"/>
              </w:rPr>
            </w:pPr>
            <w:r>
              <w:rPr>
                <w:b/>
                <w:sz w:val="16"/>
                <w:szCs w:val="16"/>
              </w:rPr>
              <w:t>/</w:t>
            </w:r>
          </w:p>
        </w:tc>
        <w:tc>
          <w:tcPr>
            <w:tcW w:w="961" w:type="dxa"/>
            <w:vAlign w:val="center"/>
          </w:tcPr>
          <w:p>
            <w:pPr>
              <w:snapToGrid w:val="0"/>
              <w:spacing w:line="240" w:lineRule="auto"/>
              <w:jc w:val="center"/>
              <w:rPr>
                <w:b/>
                <w:sz w:val="16"/>
                <w:szCs w:val="16"/>
              </w:rPr>
            </w:pPr>
            <w:r>
              <w:rPr>
                <w:b/>
                <w:sz w:val="16"/>
                <w:szCs w:val="16"/>
              </w:rPr>
              <w:t>/</w:t>
            </w:r>
          </w:p>
        </w:tc>
        <w:tc>
          <w:tcPr>
            <w:tcW w:w="1065" w:type="dxa"/>
            <w:vAlign w:val="center"/>
          </w:tcPr>
          <w:p>
            <w:pPr>
              <w:snapToGrid w:val="0"/>
              <w:spacing w:line="240" w:lineRule="auto"/>
              <w:jc w:val="center"/>
              <w:rPr>
                <w:b/>
                <w:sz w:val="16"/>
                <w:szCs w:val="16"/>
              </w:rPr>
            </w:pPr>
            <w:r>
              <w:rPr>
                <w:b/>
                <w:sz w:val="16"/>
                <w:szCs w:val="16"/>
              </w:rPr>
              <w:t>/</w:t>
            </w:r>
          </w:p>
        </w:tc>
        <w:tc>
          <w:tcPr>
            <w:tcW w:w="990" w:type="dxa"/>
            <w:vAlign w:val="center"/>
          </w:tcPr>
          <w:p>
            <w:pPr>
              <w:snapToGrid w:val="0"/>
              <w:spacing w:line="240" w:lineRule="auto"/>
              <w:jc w:val="center"/>
              <w:rPr>
                <w:b/>
                <w:sz w:val="16"/>
                <w:szCs w:val="16"/>
              </w:rPr>
            </w:pPr>
            <w:r>
              <w:rPr>
                <w:b/>
                <w:sz w:val="16"/>
                <w:szCs w:val="16"/>
              </w:rPr>
              <w:t>/</w:t>
            </w:r>
          </w:p>
        </w:tc>
        <w:tc>
          <w:tcPr>
            <w:tcW w:w="8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742" w:type="dxa"/>
            <w:vAlign w:val="center"/>
          </w:tcPr>
          <w:p>
            <w:pPr>
              <w:snapToGrid w:val="0"/>
              <w:spacing w:line="240" w:lineRule="auto"/>
              <w:jc w:val="center"/>
              <w:rPr>
                <w:b/>
                <w:sz w:val="16"/>
                <w:szCs w:val="16"/>
              </w:rPr>
            </w:pPr>
            <w:r>
              <w:rPr>
                <w:b/>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58" w:type="dxa"/>
            <w:vMerge w:val="continue"/>
            <w:vAlign w:val="center"/>
          </w:tcPr>
          <w:p>
            <w:pPr>
              <w:snapToGrid w:val="0"/>
              <w:spacing w:line="240" w:lineRule="auto"/>
              <w:jc w:val="center"/>
              <w:rPr>
                <w:b/>
                <w:sz w:val="16"/>
                <w:szCs w:val="16"/>
              </w:rPr>
            </w:pPr>
          </w:p>
        </w:tc>
        <w:tc>
          <w:tcPr>
            <w:tcW w:w="689" w:type="dxa"/>
            <w:vMerge w:val="continue"/>
            <w:vAlign w:val="center"/>
          </w:tcPr>
          <w:p>
            <w:pPr>
              <w:snapToGrid w:val="0"/>
              <w:spacing w:line="240" w:lineRule="auto"/>
              <w:jc w:val="center"/>
              <w:rPr>
                <w:rFonts w:eastAsia="黑体"/>
                <w:b/>
                <w:sz w:val="16"/>
                <w:szCs w:val="16"/>
              </w:rPr>
            </w:pPr>
          </w:p>
        </w:tc>
        <w:tc>
          <w:tcPr>
            <w:tcW w:w="1160" w:type="dxa"/>
            <w:vAlign w:val="center"/>
          </w:tcPr>
          <w:p>
            <w:pPr>
              <w:snapToGrid w:val="0"/>
              <w:spacing w:line="240" w:lineRule="auto"/>
              <w:jc w:val="center"/>
              <w:rPr>
                <w:rFonts w:eastAsia="黑体"/>
                <w:b/>
                <w:sz w:val="16"/>
                <w:szCs w:val="16"/>
              </w:rPr>
            </w:pPr>
            <w:r>
              <w:rPr>
                <w:rFonts w:eastAsia="黑体"/>
                <w:b/>
                <w:sz w:val="16"/>
                <w:szCs w:val="16"/>
              </w:rPr>
              <w:t>/</w:t>
            </w:r>
          </w:p>
        </w:tc>
        <w:tc>
          <w:tcPr>
            <w:tcW w:w="699" w:type="dxa"/>
            <w:vAlign w:val="center"/>
          </w:tcPr>
          <w:p>
            <w:pPr>
              <w:snapToGrid w:val="0"/>
              <w:spacing w:line="240" w:lineRule="auto"/>
              <w:jc w:val="center"/>
              <w:rPr>
                <w:b/>
                <w:sz w:val="16"/>
                <w:szCs w:val="16"/>
              </w:rPr>
            </w:pPr>
            <w:r>
              <w:rPr>
                <w:b/>
                <w:sz w:val="16"/>
                <w:szCs w:val="16"/>
              </w:rPr>
              <w:t>/</w:t>
            </w:r>
          </w:p>
        </w:tc>
        <w:tc>
          <w:tcPr>
            <w:tcW w:w="1170" w:type="dxa"/>
            <w:vAlign w:val="center"/>
          </w:tcPr>
          <w:p>
            <w:pPr>
              <w:snapToGrid w:val="0"/>
              <w:spacing w:line="240" w:lineRule="auto"/>
              <w:jc w:val="center"/>
              <w:rPr>
                <w:b/>
                <w:sz w:val="16"/>
                <w:szCs w:val="16"/>
              </w:rPr>
            </w:pPr>
            <w:r>
              <w:rPr>
                <w:b/>
                <w:sz w:val="16"/>
                <w:szCs w:val="16"/>
              </w:rPr>
              <w:t>/</w:t>
            </w:r>
          </w:p>
        </w:tc>
        <w:tc>
          <w:tcPr>
            <w:tcW w:w="11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1125" w:type="dxa"/>
            <w:vAlign w:val="center"/>
          </w:tcPr>
          <w:p>
            <w:pPr>
              <w:snapToGrid w:val="0"/>
              <w:spacing w:line="240" w:lineRule="auto"/>
              <w:jc w:val="center"/>
              <w:rPr>
                <w:b/>
                <w:sz w:val="16"/>
                <w:szCs w:val="16"/>
              </w:rPr>
            </w:pPr>
            <w:r>
              <w:rPr>
                <w:b/>
                <w:sz w:val="16"/>
                <w:szCs w:val="16"/>
              </w:rPr>
              <w:t>/</w:t>
            </w:r>
          </w:p>
        </w:tc>
        <w:tc>
          <w:tcPr>
            <w:tcW w:w="1184" w:type="dxa"/>
            <w:vAlign w:val="center"/>
          </w:tcPr>
          <w:p>
            <w:pPr>
              <w:snapToGrid w:val="0"/>
              <w:spacing w:line="240" w:lineRule="auto"/>
              <w:jc w:val="center"/>
              <w:rPr>
                <w:b/>
                <w:sz w:val="16"/>
                <w:szCs w:val="16"/>
              </w:rPr>
            </w:pPr>
            <w:r>
              <w:rPr>
                <w:b/>
                <w:sz w:val="16"/>
                <w:szCs w:val="16"/>
              </w:rPr>
              <w:t>/</w:t>
            </w:r>
          </w:p>
        </w:tc>
        <w:tc>
          <w:tcPr>
            <w:tcW w:w="961" w:type="dxa"/>
            <w:vAlign w:val="center"/>
          </w:tcPr>
          <w:p>
            <w:pPr>
              <w:snapToGrid w:val="0"/>
              <w:spacing w:line="240" w:lineRule="auto"/>
              <w:jc w:val="center"/>
              <w:rPr>
                <w:b/>
                <w:sz w:val="16"/>
                <w:szCs w:val="16"/>
              </w:rPr>
            </w:pPr>
            <w:r>
              <w:rPr>
                <w:b/>
                <w:sz w:val="16"/>
                <w:szCs w:val="16"/>
              </w:rPr>
              <w:t>/</w:t>
            </w:r>
          </w:p>
        </w:tc>
        <w:tc>
          <w:tcPr>
            <w:tcW w:w="1065" w:type="dxa"/>
            <w:vAlign w:val="center"/>
          </w:tcPr>
          <w:p>
            <w:pPr>
              <w:snapToGrid w:val="0"/>
              <w:spacing w:line="240" w:lineRule="auto"/>
              <w:jc w:val="center"/>
              <w:rPr>
                <w:b/>
                <w:sz w:val="16"/>
                <w:szCs w:val="16"/>
              </w:rPr>
            </w:pPr>
            <w:r>
              <w:rPr>
                <w:b/>
                <w:sz w:val="16"/>
                <w:szCs w:val="16"/>
              </w:rPr>
              <w:t>/</w:t>
            </w:r>
          </w:p>
        </w:tc>
        <w:tc>
          <w:tcPr>
            <w:tcW w:w="990" w:type="dxa"/>
            <w:vAlign w:val="center"/>
          </w:tcPr>
          <w:p>
            <w:pPr>
              <w:snapToGrid w:val="0"/>
              <w:spacing w:line="240" w:lineRule="auto"/>
              <w:jc w:val="center"/>
              <w:rPr>
                <w:b/>
                <w:sz w:val="16"/>
                <w:szCs w:val="16"/>
              </w:rPr>
            </w:pPr>
            <w:r>
              <w:rPr>
                <w:b/>
                <w:sz w:val="16"/>
                <w:szCs w:val="16"/>
              </w:rPr>
              <w:t>/</w:t>
            </w:r>
          </w:p>
        </w:tc>
        <w:tc>
          <w:tcPr>
            <w:tcW w:w="885" w:type="dxa"/>
            <w:vAlign w:val="center"/>
          </w:tcPr>
          <w:p>
            <w:pPr>
              <w:snapToGrid w:val="0"/>
              <w:spacing w:line="240" w:lineRule="auto"/>
              <w:jc w:val="center"/>
              <w:rPr>
                <w:b/>
                <w:sz w:val="16"/>
                <w:szCs w:val="16"/>
              </w:rPr>
            </w:pPr>
            <w:r>
              <w:rPr>
                <w:b/>
                <w:sz w:val="16"/>
                <w:szCs w:val="16"/>
              </w:rPr>
              <w:t>/</w:t>
            </w:r>
          </w:p>
        </w:tc>
        <w:tc>
          <w:tcPr>
            <w:tcW w:w="1050" w:type="dxa"/>
            <w:vAlign w:val="center"/>
          </w:tcPr>
          <w:p>
            <w:pPr>
              <w:snapToGrid w:val="0"/>
              <w:spacing w:line="240" w:lineRule="auto"/>
              <w:jc w:val="center"/>
              <w:rPr>
                <w:b/>
                <w:sz w:val="16"/>
                <w:szCs w:val="16"/>
              </w:rPr>
            </w:pPr>
            <w:r>
              <w:rPr>
                <w:b/>
                <w:sz w:val="16"/>
                <w:szCs w:val="16"/>
              </w:rPr>
              <w:t>/</w:t>
            </w:r>
          </w:p>
        </w:tc>
        <w:tc>
          <w:tcPr>
            <w:tcW w:w="742" w:type="dxa"/>
            <w:vAlign w:val="center"/>
          </w:tcPr>
          <w:p>
            <w:pPr>
              <w:snapToGrid w:val="0"/>
              <w:spacing w:line="240" w:lineRule="auto"/>
              <w:jc w:val="center"/>
              <w:rPr>
                <w:b/>
                <w:sz w:val="16"/>
                <w:szCs w:val="16"/>
              </w:rPr>
            </w:pPr>
            <w:r>
              <w:rPr>
                <w:b/>
                <w:sz w:val="16"/>
                <w:szCs w:val="16"/>
              </w:rPr>
              <w:t>/</w:t>
            </w:r>
          </w:p>
        </w:tc>
      </w:tr>
    </w:tbl>
    <w:p>
      <w:pPr>
        <w:spacing w:line="280" w:lineRule="exact"/>
        <w:rPr>
          <w:color w:val="000000"/>
          <w:kern w:val="0"/>
        </w:rPr>
      </w:pPr>
      <w:r>
        <w:rPr>
          <w:b/>
          <w:sz w:val="20"/>
          <w:szCs w:val="1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8572500" cy="0"/>
                <wp:effectExtent l="0" t="0" r="0" b="0"/>
                <wp:wrapNone/>
                <wp:docPr id="54" name="直线 82"/>
                <wp:cNvGraphicFramePr/>
                <a:graphic xmlns:a="http://schemas.openxmlformats.org/drawingml/2006/main">
                  <a:graphicData uri="http://schemas.microsoft.com/office/word/2010/wordprocessingShape">
                    <wps:wsp>
                      <wps:cNvCnPr/>
                      <wps:spPr>
                        <a:xfrm>
                          <a:off x="0" y="0"/>
                          <a:ext cx="85725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82" o:spid="_x0000_s1026" o:spt="20" style="position:absolute;left:0pt;margin-left:0pt;margin-top:0pt;height:0pt;width:675pt;z-index:251662336;mso-width-relative:page;mso-height-relative:page;" filled="f" stroked="t" coordsize="21600,21600" o:gfxdata="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abJML&#10;0QAAAAMBAAAPAAAAAAAAAAEAIAAAACIAAABkcnMvZG93bnJldi54bWxQSwECFAAUAAAACACHTuJA&#10;S5k4s+8BAADrAwAADgAAAAAAAAABACAAAAAgAQAAZHJzL2Uyb0RvYy54bWxQSwUGAAAAAAYABgBZ&#10;AQAAgQUAAAAA&#10;">
                <v:fill on="f" focussize="0,0"/>
                <v:stroke color="#000000" joinstyle="round"/>
                <v:imagedata o:title=""/>
                <o:lock v:ext="edit" aspectratio="f"/>
              </v:line>
            </w:pict>
          </mc:Fallback>
        </mc:AlternateContent>
      </w:r>
      <w:r>
        <w:rPr>
          <w:b/>
          <w:sz w:val="15"/>
          <w:szCs w:val="15"/>
        </w:rPr>
        <w:t>注</w:t>
      </w:r>
      <w:r>
        <w:rPr>
          <w:sz w:val="15"/>
          <w:szCs w:val="15"/>
        </w:rPr>
        <w:t>：1、排放增减量：（+）表示增加，（-）表示减少2、(12)=(6)-(8)-(11)，（9）= (4)-(5)-(8)- (11) +（1）3、计量单位：废水排放量——万吨/年；废气排放量——万标立方米/年；工业固体废物排放量——万吨/年； 水污染物排放浓度——毫克/升； 大气污染物排放浓度——毫克/立方米</w:t>
      </w:r>
      <w:r>
        <w:t>；</w:t>
      </w:r>
      <w:r>
        <w:rPr>
          <w:sz w:val="15"/>
          <w:szCs w:val="15"/>
        </w:rPr>
        <w:t>水污染物排放量——吨/年；大气污染物排放量——吨/年</w:t>
      </w:r>
    </w:p>
    <w:p>
      <w:pPr>
        <w:spacing w:line="280" w:lineRule="exact"/>
        <w:rPr>
          <w:color w:val="000000"/>
          <w:kern w:val="0"/>
        </w:rPr>
      </w:pPr>
    </w:p>
    <w:sectPr>
      <w:pgSz w:w="16838" w:h="11906" w:orient="landscape"/>
      <w:pgMar w:top="1800" w:right="1440" w:bottom="1800" w:left="1440" w:header="737" w:footer="1191"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Guli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TimesNewRoman">
    <w:altName w:val="Times New Roman"/>
    <w:panose1 w:val="00000000000000000000"/>
    <w:charset w:val="00"/>
    <w:family w:val="roman"/>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ascii="宋体" w:hAnsi="宋体" w:cs="黑体"/>
        <w:bCs/>
      </w:rPr>
    </w:pPr>
    <w:r>
      <w:rPr>
        <w:rFonts w:hint="eastAsia" w:ascii="宋体" w:hAnsi="宋体" w:cs="黑体"/>
        <w:bCs/>
      </w:rPr>
      <w:t>新疆水清清环境监测技术服务有限公司</w:t>
    </w:r>
    <w:r>
      <w:rPr>
        <w:rFonts w:hint="eastAsia" w:ascii="宋体" w:hAnsi="宋体" w:cs="黑体"/>
        <w:bCs/>
      </w:rPr>
      <w:tab/>
    </w:r>
  </w:p>
  <w:p>
    <w:pPr>
      <w:pStyle w:val="27"/>
      <w:ind w:right="360" w:firstLine="3780" w:firstLineChars="21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ascii="宋体" w:hAnsi="宋体" w:cs="黑体"/>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sGnQ5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u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ehoXX2o&#10;ugeYQ8vCTj9YHtNEqbxdHwOkTYpHgTpV0Kl4wCSmnvVbE0f9z3OKevyn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LsGnQ5AgAAcQQAAA4AAAAAAAAAAQAgAAAAHwEAAGRycy9lMm9Eb2Mu&#10;eG1sUEsFBgAAAAAGAAYAWQEAAMo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v:textbox>
            </v:shape>
          </w:pict>
        </mc:Fallback>
      </mc:AlternateContent>
    </w:r>
    <w:r>
      <w:rPr>
        <w:rFonts w:hint="eastAsia" w:ascii="宋体" w:hAnsi="宋体" w:cs="黑体"/>
        <w:bCs/>
      </w:rPr>
      <w:t>新疆水清清环境监测技术服务有限公司</w:t>
    </w:r>
    <w:r>
      <w:rPr>
        <w:rFonts w:hint="eastAsia" w:ascii="宋体" w:hAnsi="宋体" w:cs="黑体"/>
        <w:bCs/>
      </w:rPr>
      <w:tab/>
    </w:r>
  </w:p>
  <w:p>
    <w:pPr>
      <w:pStyle w:val="27"/>
      <w:ind w:right="360" w:firstLine="3780" w:firstLineChars="210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ascii="宋体" w:hAnsi="宋体" w:cs="黑体"/>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eUDE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f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NeUDE5AgAAcQQAAA4AAAAAAAAAAQAgAAAAHwEAAGRycy9lMm9Eb2Mu&#10;eG1sUEsFBgAAAAAGAAYAWQEAAMo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111</w:t>
                    </w:r>
                    <w:r>
                      <w:rPr>
                        <w:rFonts w:hint="eastAsia"/>
                        <w:sz w:val="18"/>
                      </w:rPr>
                      <w:fldChar w:fldCharType="end"/>
                    </w:r>
                  </w:p>
                </w:txbxContent>
              </v:textbox>
            </v:shape>
          </w:pict>
        </mc:Fallback>
      </mc:AlternateContent>
    </w:r>
    <w:r>
      <w:rPr>
        <w:rFonts w:hint="eastAsia" w:ascii="宋体" w:hAnsi="宋体" w:cs="黑体"/>
        <w:bCs/>
      </w:rPr>
      <w:t>新疆水清清环境监测技术服务有限公司</w:t>
    </w:r>
    <w:r>
      <w:rPr>
        <w:rFonts w:hint="eastAsia" w:ascii="宋体" w:hAnsi="宋体" w:cs="黑体"/>
        <w:bCs/>
      </w:rPr>
      <w:tab/>
    </w:r>
  </w:p>
  <w:p>
    <w:pPr>
      <w:pStyle w:val="27"/>
      <w:ind w:right="360" w:firstLine="3780" w:firstLineChars="21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i/>
        <w:iCs/>
        <w:sz w:val="18"/>
        <w:szCs w:val="16"/>
        <w:u w:val="single"/>
      </w:rPr>
    </w:pPr>
  </w:p>
  <w:p>
    <w:pPr>
      <w:tabs>
        <w:tab w:val="left" w:pos="425"/>
      </w:tabs>
      <w:rPr>
        <w:lang w:val="en-US"/>
      </w:rPr>
    </w:pPr>
    <w:r>
      <w:rPr>
        <w:rFonts w:hint="eastAsia"/>
        <w:sz w:val="18"/>
        <w:szCs w:val="16"/>
        <w:u w:val="single"/>
      </w:rPr>
      <w:tab/>
    </w:r>
    <w:r>
      <w:rPr>
        <w:rFonts w:hint="eastAsia"/>
        <w:sz w:val="18"/>
        <w:szCs w:val="16"/>
        <w:u w:val="single"/>
        <w:lang w:val="en-US" w:eastAsia="zh-CN"/>
      </w:rPr>
      <w:t xml:space="preserve">     </w:t>
    </w:r>
    <w:r>
      <w:rPr>
        <w:rFonts w:hint="eastAsia"/>
        <w:sz w:val="18"/>
        <w:szCs w:val="16"/>
        <w:u w:val="single"/>
        <w:lang w:eastAsia="zh-CN"/>
      </w:rPr>
      <w:t>中国石油吐哈油田神泉污水处理系统扩建项目竣工环境保护固体废物、噪声验收监测报告</w:t>
    </w:r>
    <w:r>
      <w:rPr>
        <w:rFonts w:hint="eastAsia"/>
        <w:sz w:val="18"/>
        <w:szCs w:val="16"/>
        <w:u w:val="single"/>
        <w:lang w:val="en-US" w:eastAsia="zh-CN"/>
      </w:rPr>
      <w:t xml:space="preserve">                                                                               </w:t>
    </w:r>
    <w:r>
      <w:rPr>
        <w:rFonts w:hint="eastAsia"/>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tabs>
        <w:tab w:val="left" w:pos="425"/>
      </w:tabs>
      <w:rPr>
        <w:rFonts w:hint="eastAsia"/>
        <w:sz w:val="18"/>
        <w:szCs w:val="16"/>
        <w:u w:val="single"/>
      </w:rPr>
    </w:pPr>
  </w:p>
  <w:p>
    <w:pPr>
      <w:pBdr>
        <w:bottom w:val="single" w:color="auto" w:sz="4" w:space="0"/>
      </w:pBdr>
      <w:tabs>
        <w:tab w:val="left" w:pos="425"/>
      </w:tabs>
      <w:spacing w:line="240" w:lineRule="auto"/>
      <w:jc w:val="center"/>
      <w:rPr>
        <w:u w:val="none"/>
      </w:rPr>
    </w:pPr>
    <w:r>
      <w:rPr>
        <w:rFonts w:hint="eastAsia"/>
        <w:sz w:val="18"/>
        <w:szCs w:val="16"/>
        <w:u w:val="none"/>
        <w:lang w:eastAsia="zh-CN"/>
      </w:rPr>
      <w:t>中国石油吐哈油田神泉污水处理系统扩建项目竣工环境保护固体废物、噪声验收监测报告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F310E2"/>
    <w:multiLevelType w:val="multilevel"/>
    <w:tmpl w:val="1AF310E2"/>
    <w:lvl w:ilvl="0" w:tentative="0">
      <w:start w:val="1"/>
      <w:numFmt w:val="bullet"/>
      <w:pStyle w:val="99"/>
      <w:lvlText w:val=""/>
      <w:lvlJc w:val="left"/>
      <w:pPr>
        <w:tabs>
          <w:tab w:val="left" w:pos="2100"/>
        </w:tabs>
        <w:ind w:left="210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
    <w:nsid w:val="341D7881"/>
    <w:multiLevelType w:val="multilevel"/>
    <w:tmpl w:val="341D7881"/>
    <w:lvl w:ilvl="0" w:tentative="0">
      <w:start w:val="1"/>
      <w:numFmt w:val="chineseCountingThousand"/>
      <w:lvlText w:val="第%1章    "/>
      <w:lvlJc w:val="left"/>
      <w:pPr>
        <w:ind w:left="0" w:firstLine="0"/>
      </w:pPr>
      <w:rPr>
        <w:rFonts w:hint="eastAsia"/>
      </w:rPr>
    </w:lvl>
    <w:lvl w:ilvl="1" w:tentative="0">
      <w:start w:val="1"/>
      <w:numFmt w:val="decimal"/>
      <w:isLgl/>
      <w:suff w:val="nothing"/>
      <w:lvlText w:val="%1.%2 "/>
      <w:lvlJc w:val="left"/>
      <w:pPr>
        <w:ind w:left="0" w:firstLine="0"/>
      </w:pPr>
      <w:rPr>
        <w:rFonts w:hint="eastAsia"/>
      </w:rPr>
    </w:lvl>
    <w:lvl w:ilvl="2" w:tentative="0">
      <w:start w:val="1"/>
      <w:numFmt w:val="decimal"/>
      <w:isLgl/>
      <w:suff w:val="nothing"/>
      <w:lvlText w:val="%1.%2.%3 "/>
      <w:lvlJc w:val="left"/>
      <w:pPr>
        <w:ind w:left="0" w:firstLine="0"/>
      </w:pPr>
      <w:rPr>
        <w:rFonts w:hint="eastAsia"/>
      </w:rPr>
    </w:lvl>
    <w:lvl w:ilvl="3" w:tentative="0">
      <w:start w:val="1"/>
      <w:numFmt w:val="decimal"/>
      <w:lvlRestart w:val="2"/>
      <w:pStyle w:val="68"/>
      <w:isLgl/>
      <w:lvlText w:val="表%1.%2-%4    "/>
      <w:lvlJc w:val="left"/>
      <w:pPr>
        <w:ind w:left="2880" w:firstLine="0"/>
      </w:pPr>
      <w:rPr>
        <w:rFonts w:hint="eastAsia"/>
        <w:lang w:val="en-US"/>
      </w:rPr>
    </w:lvl>
    <w:lvl w:ilvl="4" w:tentative="0">
      <w:start w:val="1"/>
      <w:numFmt w:val="decimal"/>
      <w:lvlRestart w:val="2"/>
      <w:pStyle w:val="111"/>
      <w:isLgl/>
      <w:lvlText w:val="图%1.%2-%5    "/>
      <w:lvlJc w:val="left"/>
      <w:pPr>
        <w:ind w:left="2880" w:firstLine="0"/>
      </w:pPr>
      <w:rPr>
        <w:rFonts w:hint="eastAsia"/>
        <w:lang w:val="en-US"/>
      </w:rPr>
    </w:lvl>
    <w:lvl w:ilvl="5" w:tentative="0">
      <w:start w:val="1"/>
      <w:numFmt w:val="decimal"/>
      <w:lvlRestart w:val="3"/>
      <w:isLgl/>
      <w:suff w:val="nothing"/>
      <w:lvlText w:val="%1.%2.%3.%6 "/>
      <w:lvlJc w:val="left"/>
      <w:pPr>
        <w:ind w:left="0" w:firstLine="0"/>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59FC3B15"/>
    <w:multiLevelType w:val="singleLevel"/>
    <w:tmpl w:val="59FC3B15"/>
    <w:lvl w:ilvl="0" w:tentative="0">
      <w:start w:val="1"/>
      <w:numFmt w:val="decimal"/>
      <w:suff w:val="nothing"/>
      <w:lvlText w:val="（%1）"/>
      <w:lvlJc w:val="left"/>
    </w:lvl>
  </w:abstractNum>
  <w:abstractNum w:abstractNumId="3">
    <w:nsid w:val="5A0AA111"/>
    <w:multiLevelType w:val="singleLevel"/>
    <w:tmpl w:val="5A0AA111"/>
    <w:lvl w:ilvl="0" w:tentative="0">
      <w:start w:val="2"/>
      <w:numFmt w:val="chineseCounting"/>
      <w:suff w:val="nothing"/>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documentProtection w:enforcement="0"/>
  <w:defaultTabStop w:val="420"/>
  <w:drawingGridHorizontalSpacing w:val="105"/>
  <w:drawingGridVerticalSpacing w:val="198"/>
  <w:noPunctuationKerning w:val="1"/>
  <w:characterSpacingControl w:val="compressPunctuation"/>
  <w:doNotValidateAgainstSchema/>
  <w:doNotDemarcateInvalidXml/>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wYTM4ZTI4OTkzYjcwODRkYTYwMzRiNGZjMzFkMmIifQ=="/>
  </w:docVars>
  <w:rsids>
    <w:rsidRoot w:val="00172A27"/>
    <w:rsid w:val="00001A49"/>
    <w:rsid w:val="000054C4"/>
    <w:rsid w:val="000B7018"/>
    <w:rsid w:val="000C19F5"/>
    <w:rsid w:val="000E5246"/>
    <w:rsid w:val="00172A27"/>
    <w:rsid w:val="001A3B5F"/>
    <w:rsid w:val="001D23A4"/>
    <w:rsid w:val="0024514C"/>
    <w:rsid w:val="00246943"/>
    <w:rsid w:val="003920B1"/>
    <w:rsid w:val="003D153C"/>
    <w:rsid w:val="0055320D"/>
    <w:rsid w:val="005C2364"/>
    <w:rsid w:val="005D0A7E"/>
    <w:rsid w:val="0081341D"/>
    <w:rsid w:val="008711E9"/>
    <w:rsid w:val="00927F58"/>
    <w:rsid w:val="00940235"/>
    <w:rsid w:val="009755B9"/>
    <w:rsid w:val="00AA3975"/>
    <w:rsid w:val="00B332B0"/>
    <w:rsid w:val="00BA62B1"/>
    <w:rsid w:val="00C87928"/>
    <w:rsid w:val="00D42455"/>
    <w:rsid w:val="00DD0D83"/>
    <w:rsid w:val="00F16276"/>
    <w:rsid w:val="00F7254E"/>
    <w:rsid w:val="0143763F"/>
    <w:rsid w:val="02B93DAD"/>
    <w:rsid w:val="03457796"/>
    <w:rsid w:val="03E120A9"/>
    <w:rsid w:val="04006A91"/>
    <w:rsid w:val="04AF70B9"/>
    <w:rsid w:val="04B2732A"/>
    <w:rsid w:val="04B76093"/>
    <w:rsid w:val="04BE1A12"/>
    <w:rsid w:val="052E6F89"/>
    <w:rsid w:val="053C45E7"/>
    <w:rsid w:val="05CD3BE8"/>
    <w:rsid w:val="06795F40"/>
    <w:rsid w:val="0721587D"/>
    <w:rsid w:val="07661072"/>
    <w:rsid w:val="079C22DD"/>
    <w:rsid w:val="07B643BF"/>
    <w:rsid w:val="080031A3"/>
    <w:rsid w:val="08457473"/>
    <w:rsid w:val="085F7932"/>
    <w:rsid w:val="08C31A9E"/>
    <w:rsid w:val="08FE550D"/>
    <w:rsid w:val="09FF688F"/>
    <w:rsid w:val="0A2B6E22"/>
    <w:rsid w:val="0A3B03F8"/>
    <w:rsid w:val="0AED2E07"/>
    <w:rsid w:val="0B327EDF"/>
    <w:rsid w:val="0B6D1F92"/>
    <w:rsid w:val="0BE20317"/>
    <w:rsid w:val="0C0E3C11"/>
    <w:rsid w:val="0C701DFB"/>
    <w:rsid w:val="0CED403B"/>
    <w:rsid w:val="0D432077"/>
    <w:rsid w:val="0D6E388A"/>
    <w:rsid w:val="0DEA27EF"/>
    <w:rsid w:val="0E167C35"/>
    <w:rsid w:val="0EDB146D"/>
    <w:rsid w:val="0FCE2016"/>
    <w:rsid w:val="101456F2"/>
    <w:rsid w:val="10690C69"/>
    <w:rsid w:val="10BA08FA"/>
    <w:rsid w:val="118E545C"/>
    <w:rsid w:val="11B4364D"/>
    <w:rsid w:val="12773E3F"/>
    <w:rsid w:val="12843932"/>
    <w:rsid w:val="12A42B86"/>
    <w:rsid w:val="12CD66C4"/>
    <w:rsid w:val="1308534B"/>
    <w:rsid w:val="1316525D"/>
    <w:rsid w:val="13392700"/>
    <w:rsid w:val="138A5B3C"/>
    <w:rsid w:val="13951E25"/>
    <w:rsid w:val="13DF4CA5"/>
    <w:rsid w:val="14520417"/>
    <w:rsid w:val="1498106C"/>
    <w:rsid w:val="14A44F77"/>
    <w:rsid w:val="14F815CE"/>
    <w:rsid w:val="155767C6"/>
    <w:rsid w:val="156A1EC7"/>
    <w:rsid w:val="15DB249C"/>
    <w:rsid w:val="163949A0"/>
    <w:rsid w:val="163D56ED"/>
    <w:rsid w:val="1677374E"/>
    <w:rsid w:val="178C6A30"/>
    <w:rsid w:val="17945EC5"/>
    <w:rsid w:val="17BC70CC"/>
    <w:rsid w:val="180807CB"/>
    <w:rsid w:val="18E94049"/>
    <w:rsid w:val="19405AB6"/>
    <w:rsid w:val="19A15970"/>
    <w:rsid w:val="19D93427"/>
    <w:rsid w:val="1A8A5672"/>
    <w:rsid w:val="1AA12B95"/>
    <w:rsid w:val="1ABF57BF"/>
    <w:rsid w:val="1B174399"/>
    <w:rsid w:val="1B2F7E2A"/>
    <w:rsid w:val="1BD07802"/>
    <w:rsid w:val="1BFA2469"/>
    <w:rsid w:val="1C6145B7"/>
    <w:rsid w:val="1C7F7133"/>
    <w:rsid w:val="1C84437D"/>
    <w:rsid w:val="1C9D6F06"/>
    <w:rsid w:val="1CC21498"/>
    <w:rsid w:val="1CD44C11"/>
    <w:rsid w:val="1D0C06B6"/>
    <w:rsid w:val="1D2D6CDF"/>
    <w:rsid w:val="1DBB5310"/>
    <w:rsid w:val="1DE876E6"/>
    <w:rsid w:val="1E171CBA"/>
    <w:rsid w:val="1E7E15C6"/>
    <w:rsid w:val="1EE123AF"/>
    <w:rsid w:val="200A152C"/>
    <w:rsid w:val="207606D2"/>
    <w:rsid w:val="20BF2304"/>
    <w:rsid w:val="21150853"/>
    <w:rsid w:val="21C3561F"/>
    <w:rsid w:val="22063552"/>
    <w:rsid w:val="22CF3391"/>
    <w:rsid w:val="232E5404"/>
    <w:rsid w:val="243351D6"/>
    <w:rsid w:val="24D25AAD"/>
    <w:rsid w:val="258E50A5"/>
    <w:rsid w:val="26D875EE"/>
    <w:rsid w:val="26F16788"/>
    <w:rsid w:val="27367CDE"/>
    <w:rsid w:val="27A55D83"/>
    <w:rsid w:val="27D22E3F"/>
    <w:rsid w:val="28794364"/>
    <w:rsid w:val="28A402AF"/>
    <w:rsid w:val="2925147A"/>
    <w:rsid w:val="299816AF"/>
    <w:rsid w:val="2A06157B"/>
    <w:rsid w:val="2A2B688E"/>
    <w:rsid w:val="2A386ECD"/>
    <w:rsid w:val="2A3A1889"/>
    <w:rsid w:val="2ADA1D74"/>
    <w:rsid w:val="2AF167BC"/>
    <w:rsid w:val="2B711687"/>
    <w:rsid w:val="2BB22825"/>
    <w:rsid w:val="2BCF0D45"/>
    <w:rsid w:val="2BD73AE9"/>
    <w:rsid w:val="2C4E5305"/>
    <w:rsid w:val="2D1D4DD6"/>
    <w:rsid w:val="2E1D50EE"/>
    <w:rsid w:val="2E9F680A"/>
    <w:rsid w:val="2EC67214"/>
    <w:rsid w:val="2F3706DE"/>
    <w:rsid w:val="2F730B9A"/>
    <w:rsid w:val="2F7E2EDF"/>
    <w:rsid w:val="2FA12BC7"/>
    <w:rsid w:val="2FC4143D"/>
    <w:rsid w:val="2FCE3E78"/>
    <w:rsid w:val="2FE07A9B"/>
    <w:rsid w:val="3016033E"/>
    <w:rsid w:val="3030324A"/>
    <w:rsid w:val="30363740"/>
    <w:rsid w:val="30750576"/>
    <w:rsid w:val="326E09CC"/>
    <w:rsid w:val="32752506"/>
    <w:rsid w:val="328403F4"/>
    <w:rsid w:val="32BC4CAC"/>
    <w:rsid w:val="32C316A9"/>
    <w:rsid w:val="333B2B4B"/>
    <w:rsid w:val="34887D54"/>
    <w:rsid w:val="3494263F"/>
    <w:rsid w:val="34AF7D7E"/>
    <w:rsid w:val="35594813"/>
    <w:rsid w:val="35B74D1B"/>
    <w:rsid w:val="35BD18B1"/>
    <w:rsid w:val="35F54D37"/>
    <w:rsid w:val="361D5CBB"/>
    <w:rsid w:val="364B3364"/>
    <w:rsid w:val="36BE7878"/>
    <w:rsid w:val="36D11F37"/>
    <w:rsid w:val="36D272E2"/>
    <w:rsid w:val="36E56802"/>
    <w:rsid w:val="3701007B"/>
    <w:rsid w:val="378D1585"/>
    <w:rsid w:val="37C40410"/>
    <w:rsid w:val="37D05ADD"/>
    <w:rsid w:val="38275C7B"/>
    <w:rsid w:val="38675B9F"/>
    <w:rsid w:val="389E71E3"/>
    <w:rsid w:val="38AD1856"/>
    <w:rsid w:val="38DB3D8C"/>
    <w:rsid w:val="394E64F2"/>
    <w:rsid w:val="3AE2542B"/>
    <w:rsid w:val="3B691709"/>
    <w:rsid w:val="3BD62EEF"/>
    <w:rsid w:val="3BE61D59"/>
    <w:rsid w:val="3C5C3B53"/>
    <w:rsid w:val="3C8B6EFD"/>
    <w:rsid w:val="3D2B131A"/>
    <w:rsid w:val="3DBD2FC3"/>
    <w:rsid w:val="3E8E291D"/>
    <w:rsid w:val="3E97669D"/>
    <w:rsid w:val="3F9F420A"/>
    <w:rsid w:val="3FEE16F3"/>
    <w:rsid w:val="40260539"/>
    <w:rsid w:val="4050099E"/>
    <w:rsid w:val="4127513C"/>
    <w:rsid w:val="426B61EA"/>
    <w:rsid w:val="42816DD3"/>
    <w:rsid w:val="42D631FF"/>
    <w:rsid w:val="4304094A"/>
    <w:rsid w:val="430F79C9"/>
    <w:rsid w:val="43C4109A"/>
    <w:rsid w:val="448D4247"/>
    <w:rsid w:val="449B33AB"/>
    <w:rsid w:val="44AB3DDB"/>
    <w:rsid w:val="44C742E5"/>
    <w:rsid w:val="44CB6461"/>
    <w:rsid w:val="454F050F"/>
    <w:rsid w:val="455775CF"/>
    <w:rsid w:val="45686C7C"/>
    <w:rsid w:val="459C5547"/>
    <w:rsid w:val="4627061F"/>
    <w:rsid w:val="46A43626"/>
    <w:rsid w:val="46CE5797"/>
    <w:rsid w:val="473A7662"/>
    <w:rsid w:val="47582172"/>
    <w:rsid w:val="479851F4"/>
    <w:rsid w:val="488876ED"/>
    <w:rsid w:val="48D81CF9"/>
    <w:rsid w:val="490931C5"/>
    <w:rsid w:val="494D16F1"/>
    <w:rsid w:val="49727F77"/>
    <w:rsid w:val="49C87E23"/>
    <w:rsid w:val="49CC18D4"/>
    <w:rsid w:val="49CC2D7D"/>
    <w:rsid w:val="49D07F71"/>
    <w:rsid w:val="4A0D65C5"/>
    <w:rsid w:val="4A8D2409"/>
    <w:rsid w:val="4AA95CB4"/>
    <w:rsid w:val="4ADB608F"/>
    <w:rsid w:val="4B2340AE"/>
    <w:rsid w:val="4B3D048B"/>
    <w:rsid w:val="4B3E2796"/>
    <w:rsid w:val="4B4E3AD6"/>
    <w:rsid w:val="4B5E4DA7"/>
    <w:rsid w:val="4B8A1219"/>
    <w:rsid w:val="4BD37DE4"/>
    <w:rsid w:val="4BEC48CE"/>
    <w:rsid w:val="4C14749E"/>
    <w:rsid w:val="4C4E4222"/>
    <w:rsid w:val="4D0C1FBD"/>
    <w:rsid w:val="4D161E05"/>
    <w:rsid w:val="4D9A6103"/>
    <w:rsid w:val="4DC96AAF"/>
    <w:rsid w:val="4E2D566C"/>
    <w:rsid w:val="4E5078C8"/>
    <w:rsid w:val="4E657AC0"/>
    <w:rsid w:val="4E783CC8"/>
    <w:rsid w:val="4E803594"/>
    <w:rsid w:val="4EF4209C"/>
    <w:rsid w:val="4EFA3BA1"/>
    <w:rsid w:val="4F1C074A"/>
    <w:rsid w:val="4F2F43B4"/>
    <w:rsid w:val="4F8F1C56"/>
    <w:rsid w:val="4FA554A9"/>
    <w:rsid w:val="50BD2BC5"/>
    <w:rsid w:val="50E21BC7"/>
    <w:rsid w:val="5120407D"/>
    <w:rsid w:val="517B50EF"/>
    <w:rsid w:val="52144F64"/>
    <w:rsid w:val="52384F8B"/>
    <w:rsid w:val="5274564F"/>
    <w:rsid w:val="52DD1F7F"/>
    <w:rsid w:val="5341645A"/>
    <w:rsid w:val="538B6EB9"/>
    <w:rsid w:val="53B571CA"/>
    <w:rsid w:val="53EC3A40"/>
    <w:rsid w:val="5455387D"/>
    <w:rsid w:val="547C56A1"/>
    <w:rsid w:val="54992A6B"/>
    <w:rsid w:val="54EA40EC"/>
    <w:rsid w:val="55C4241A"/>
    <w:rsid w:val="55C815F1"/>
    <w:rsid w:val="563C7D2B"/>
    <w:rsid w:val="56F66B2A"/>
    <w:rsid w:val="570D57DF"/>
    <w:rsid w:val="57E862D1"/>
    <w:rsid w:val="58206AC0"/>
    <w:rsid w:val="583550CC"/>
    <w:rsid w:val="588B04A4"/>
    <w:rsid w:val="594E3790"/>
    <w:rsid w:val="59931042"/>
    <w:rsid w:val="59BC5F41"/>
    <w:rsid w:val="5A814A9D"/>
    <w:rsid w:val="5AF815F1"/>
    <w:rsid w:val="5B390D5D"/>
    <w:rsid w:val="5B661DE7"/>
    <w:rsid w:val="5C312C42"/>
    <w:rsid w:val="5C4C5C78"/>
    <w:rsid w:val="5CA3514B"/>
    <w:rsid w:val="5D742898"/>
    <w:rsid w:val="5D922DFA"/>
    <w:rsid w:val="5D987785"/>
    <w:rsid w:val="5DAC6DCF"/>
    <w:rsid w:val="5DC717C0"/>
    <w:rsid w:val="5E5B4C9A"/>
    <w:rsid w:val="5E697E13"/>
    <w:rsid w:val="5E764513"/>
    <w:rsid w:val="5F134E2A"/>
    <w:rsid w:val="61152B76"/>
    <w:rsid w:val="6130603A"/>
    <w:rsid w:val="618544E0"/>
    <w:rsid w:val="61DE1A29"/>
    <w:rsid w:val="61E1304B"/>
    <w:rsid w:val="622449F9"/>
    <w:rsid w:val="62952A6B"/>
    <w:rsid w:val="638951FB"/>
    <w:rsid w:val="638A02A9"/>
    <w:rsid w:val="63C6514D"/>
    <w:rsid w:val="651E1C48"/>
    <w:rsid w:val="677B24F2"/>
    <w:rsid w:val="679A2F63"/>
    <w:rsid w:val="6865752D"/>
    <w:rsid w:val="69010B46"/>
    <w:rsid w:val="692F606D"/>
    <w:rsid w:val="694B72DF"/>
    <w:rsid w:val="698A53F4"/>
    <w:rsid w:val="6A2C1322"/>
    <w:rsid w:val="6AA27C43"/>
    <w:rsid w:val="6ABB4020"/>
    <w:rsid w:val="6ACE5C64"/>
    <w:rsid w:val="6B4955C9"/>
    <w:rsid w:val="6B6A3BE1"/>
    <w:rsid w:val="6C0120A7"/>
    <w:rsid w:val="6C167C97"/>
    <w:rsid w:val="6C281DB4"/>
    <w:rsid w:val="6C544656"/>
    <w:rsid w:val="6C821695"/>
    <w:rsid w:val="6CB64D74"/>
    <w:rsid w:val="6CE25DB1"/>
    <w:rsid w:val="6E032E15"/>
    <w:rsid w:val="6E1161D8"/>
    <w:rsid w:val="6E6C58B8"/>
    <w:rsid w:val="6E9B643B"/>
    <w:rsid w:val="6EBA1DE8"/>
    <w:rsid w:val="6EE01BA2"/>
    <w:rsid w:val="6F4E6403"/>
    <w:rsid w:val="6F4F1C95"/>
    <w:rsid w:val="6F7F08E6"/>
    <w:rsid w:val="6FE25C29"/>
    <w:rsid w:val="701A59E9"/>
    <w:rsid w:val="705568E7"/>
    <w:rsid w:val="707C3E02"/>
    <w:rsid w:val="70B27FF8"/>
    <w:rsid w:val="70CD4026"/>
    <w:rsid w:val="70D75D85"/>
    <w:rsid w:val="70DD1FC5"/>
    <w:rsid w:val="70E4108A"/>
    <w:rsid w:val="70F26940"/>
    <w:rsid w:val="70F84576"/>
    <w:rsid w:val="71065769"/>
    <w:rsid w:val="711F4690"/>
    <w:rsid w:val="714C5FB2"/>
    <w:rsid w:val="71691CF2"/>
    <w:rsid w:val="718D4D26"/>
    <w:rsid w:val="71D67A84"/>
    <w:rsid w:val="71EB77ED"/>
    <w:rsid w:val="71FC2BE1"/>
    <w:rsid w:val="7225761F"/>
    <w:rsid w:val="723F7060"/>
    <w:rsid w:val="73A661A5"/>
    <w:rsid w:val="74315DBB"/>
    <w:rsid w:val="744F10FC"/>
    <w:rsid w:val="74620ED1"/>
    <w:rsid w:val="75052F6F"/>
    <w:rsid w:val="7509644C"/>
    <w:rsid w:val="751472F9"/>
    <w:rsid w:val="75676DEA"/>
    <w:rsid w:val="75EF1A23"/>
    <w:rsid w:val="760C503D"/>
    <w:rsid w:val="76B813E8"/>
    <w:rsid w:val="76E854E7"/>
    <w:rsid w:val="76ED4F41"/>
    <w:rsid w:val="76F855A5"/>
    <w:rsid w:val="783B5434"/>
    <w:rsid w:val="78454CCB"/>
    <w:rsid w:val="787C3AB9"/>
    <w:rsid w:val="78814145"/>
    <w:rsid w:val="7A0E4FF6"/>
    <w:rsid w:val="7A1C47F4"/>
    <w:rsid w:val="7A3C40CB"/>
    <w:rsid w:val="7A626D7A"/>
    <w:rsid w:val="7A6A3710"/>
    <w:rsid w:val="7AF90C3F"/>
    <w:rsid w:val="7BC70E7A"/>
    <w:rsid w:val="7C0021C5"/>
    <w:rsid w:val="7C643DB7"/>
    <w:rsid w:val="7C6853F7"/>
    <w:rsid w:val="7CC11ADE"/>
    <w:rsid w:val="7D9E6E12"/>
    <w:rsid w:val="7DF31260"/>
    <w:rsid w:val="7E711B68"/>
    <w:rsid w:val="7E872806"/>
    <w:rsid w:val="7ED43314"/>
    <w:rsid w:val="7F481B92"/>
    <w:rsid w:val="7F5C2B05"/>
    <w:rsid w:val="7FC73509"/>
    <w:rsid w:val="7FD078DA"/>
    <w:rsid w:val="7FDA6EC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qFormat="1"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8"/>
      <w:szCs w:val="24"/>
      <w:lang w:val="en-US" w:eastAsia="zh-CN" w:bidi="ar-SA"/>
    </w:rPr>
  </w:style>
  <w:style w:type="paragraph" w:styleId="2">
    <w:name w:val="heading 1"/>
    <w:basedOn w:val="1"/>
    <w:next w:val="1"/>
    <w:link w:val="127"/>
    <w:qFormat/>
    <w:uiPriority w:val="9"/>
    <w:pPr>
      <w:keepNext/>
      <w:keepLines/>
      <w:spacing w:line="600" w:lineRule="auto"/>
      <w:outlineLvl w:val="0"/>
    </w:pPr>
    <w:rPr>
      <w:b/>
      <w:bCs/>
      <w:kern w:val="44"/>
      <w:sz w:val="32"/>
      <w:szCs w:val="44"/>
    </w:rPr>
  </w:style>
  <w:style w:type="paragraph" w:styleId="3">
    <w:name w:val="heading 2"/>
    <w:basedOn w:val="1"/>
    <w:next w:val="1"/>
    <w:link w:val="121"/>
    <w:qFormat/>
    <w:uiPriority w:val="0"/>
    <w:pPr>
      <w:keepNext/>
      <w:keepLines/>
      <w:outlineLvl w:val="1"/>
    </w:pPr>
    <w:rPr>
      <w:b/>
      <w:kern w:val="0"/>
      <w:sz w:val="30"/>
      <w:szCs w:val="32"/>
    </w:rPr>
  </w:style>
  <w:style w:type="paragraph" w:styleId="4">
    <w:name w:val="heading 3"/>
    <w:basedOn w:val="1"/>
    <w:next w:val="1"/>
    <w:qFormat/>
    <w:uiPriority w:val="0"/>
    <w:pPr>
      <w:keepNext/>
      <w:keepLines/>
      <w:outlineLvl w:val="2"/>
    </w:pPr>
    <w:rPr>
      <w:b/>
      <w:bCs/>
      <w:szCs w:val="32"/>
    </w:rPr>
  </w:style>
  <w:style w:type="paragraph" w:styleId="5">
    <w:name w:val="heading 4"/>
    <w:basedOn w:val="1"/>
    <w:next w:val="1"/>
    <w:qFormat/>
    <w:uiPriority w:val="0"/>
    <w:pPr>
      <w:keepNext/>
      <w:keepLines/>
      <w:spacing w:line="372" w:lineRule="auto"/>
      <w:outlineLvl w:val="3"/>
    </w:pPr>
    <w:rPr>
      <w:rFonts w:ascii="Arial" w:hAnsi="Arial" w:eastAsia="黑体"/>
      <w:b/>
      <w:bCs/>
      <w:szCs w:val="28"/>
    </w:rPr>
  </w:style>
  <w:style w:type="paragraph" w:styleId="6">
    <w:name w:val="heading 5"/>
    <w:basedOn w:val="1"/>
    <w:next w:val="1"/>
    <w:qFormat/>
    <w:uiPriority w:val="0"/>
    <w:pPr>
      <w:keepNext/>
      <w:keepLines/>
      <w:spacing w:line="372" w:lineRule="auto"/>
      <w:outlineLvl w:val="4"/>
    </w:pPr>
    <w:rPr>
      <w:rFonts w:ascii="宋体"/>
      <w:b/>
      <w:bCs/>
      <w:szCs w:val="28"/>
    </w:rPr>
  </w:style>
  <w:style w:type="paragraph" w:styleId="7">
    <w:name w:val="heading 6"/>
    <w:basedOn w:val="1"/>
    <w:next w:val="1"/>
    <w:qFormat/>
    <w:uiPriority w:val="0"/>
    <w:pPr>
      <w:keepNext/>
      <w:keepLines/>
      <w:spacing w:line="317" w:lineRule="auto"/>
      <w:outlineLvl w:val="5"/>
    </w:pPr>
    <w:rPr>
      <w:rFonts w:ascii="Arial" w:hAnsi="Arial" w:eastAsia="黑体"/>
      <w:b/>
      <w:bCs/>
      <w:sz w:val="24"/>
    </w:rPr>
  </w:style>
  <w:style w:type="paragraph" w:styleId="8">
    <w:name w:val="heading 7"/>
    <w:basedOn w:val="1"/>
    <w:next w:val="1"/>
    <w:qFormat/>
    <w:uiPriority w:val="0"/>
    <w:pPr>
      <w:keepNext/>
      <w:keepLines/>
      <w:spacing w:line="317" w:lineRule="auto"/>
      <w:outlineLvl w:val="6"/>
    </w:pPr>
    <w:rPr>
      <w:rFonts w:ascii="宋体"/>
      <w:b/>
      <w:bCs/>
      <w:sz w:val="24"/>
    </w:rPr>
  </w:style>
  <w:style w:type="paragraph" w:styleId="9">
    <w:name w:val="heading 8"/>
    <w:basedOn w:val="1"/>
    <w:next w:val="1"/>
    <w:qFormat/>
    <w:uiPriority w:val="0"/>
    <w:pPr>
      <w:keepNext/>
      <w:keepLines/>
      <w:spacing w:line="317" w:lineRule="auto"/>
      <w:outlineLvl w:val="7"/>
    </w:pPr>
    <w:rPr>
      <w:rFonts w:ascii="Arial" w:hAnsi="Arial" w:eastAsia="黑体"/>
      <w:sz w:val="24"/>
    </w:rPr>
  </w:style>
  <w:style w:type="paragraph" w:styleId="10">
    <w:name w:val="heading 9"/>
    <w:basedOn w:val="1"/>
    <w:next w:val="1"/>
    <w:qFormat/>
    <w:uiPriority w:val="0"/>
    <w:pPr>
      <w:keepNext/>
      <w:keepLines/>
      <w:spacing w:line="317" w:lineRule="auto"/>
      <w:outlineLvl w:val="8"/>
    </w:pPr>
    <w:rPr>
      <w:rFonts w:ascii="Arial" w:hAnsi="Arial" w:eastAsia="黑体"/>
      <w:szCs w:val="21"/>
    </w:r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Note Heading"/>
    <w:basedOn w:val="1"/>
    <w:next w:val="1"/>
    <w:qFormat/>
    <w:uiPriority w:val="0"/>
    <w:pPr>
      <w:jc w:val="center"/>
    </w:pPr>
    <w:rPr>
      <w:szCs w:val="20"/>
    </w:rPr>
  </w:style>
  <w:style w:type="paragraph" w:styleId="13">
    <w:name w:val="Normal Indent"/>
    <w:basedOn w:val="1"/>
    <w:link w:val="123"/>
    <w:qFormat/>
    <w:uiPriority w:val="0"/>
    <w:pPr>
      <w:ind w:firstLine="420"/>
    </w:pPr>
    <w:rPr>
      <w:szCs w:val="20"/>
    </w:rPr>
  </w:style>
  <w:style w:type="paragraph" w:styleId="14">
    <w:name w:val="caption"/>
    <w:basedOn w:val="1"/>
    <w:next w:val="1"/>
    <w:qFormat/>
    <w:uiPriority w:val="0"/>
    <w:pPr>
      <w:jc w:val="center"/>
    </w:pPr>
    <w:rPr>
      <w:rFonts w:ascii="黑体" w:hAnsi="宋体" w:eastAsia="黑体"/>
      <w:b/>
      <w:bCs/>
    </w:rPr>
  </w:style>
  <w:style w:type="paragraph" w:styleId="15">
    <w:name w:val="Document Map"/>
    <w:basedOn w:val="1"/>
    <w:qFormat/>
    <w:uiPriority w:val="0"/>
    <w:pPr>
      <w:shd w:val="clear" w:color="auto" w:fill="000080"/>
    </w:pPr>
  </w:style>
  <w:style w:type="paragraph" w:styleId="16">
    <w:name w:val="annotation text"/>
    <w:basedOn w:val="1"/>
    <w:qFormat/>
    <w:uiPriority w:val="0"/>
    <w:pPr>
      <w:spacing w:line="480" w:lineRule="exact"/>
      <w:ind w:firstLine="200" w:firstLineChars="200"/>
      <w:jc w:val="left"/>
    </w:pPr>
    <w:rPr>
      <w:rFonts w:ascii="宋体"/>
      <w:szCs w:val="20"/>
    </w:rPr>
  </w:style>
  <w:style w:type="paragraph" w:styleId="17">
    <w:name w:val="Body Text 3"/>
    <w:basedOn w:val="1"/>
    <w:qFormat/>
    <w:uiPriority w:val="0"/>
    <w:rPr>
      <w:rFonts w:ascii="宋体"/>
    </w:rPr>
  </w:style>
  <w:style w:type="paragraph" w:styleId="18">
    <w:name w:val="Body Text"/>
    <w:basedOn w:val="1"/>
    <w:link w:val="124"/>
    <w:qFormat/>
    <w:uiPriority w:val="0"/>
    <w:rPr>
      <w:sz w:val="24"/>
    </w:rPr>
  </w:style>
  <w:style w:type="paragraph" w:styleId="19">
    <w:name w:val="Body Text Indent"/>
    <w:basedOn w:val="1"/>
    <w:qFormat/>
    <w:uiPriority w:val="0"/>
    <w:pPr>
      <w:ind w:firstLine="560" w:firstLineChars="200"/>
    </w:pPr>
  </w:style>
  <w:style w:type="paragraph" w:styleId="20">
    <w:name w:val="toc 5"/>
    <w:basedOn w:val="1"/>
    <w:next w:val="1"/>
    <w:qFormat/>
    <w:uiPriority w:val="0"/>
    <w:pPr>
      <w:ind w:left="1680" w:leftChars="800"/>
    </w:pPr>
  </w:style>
  <w:style w:type="paragraph" w:styleId="21">
    <w:name w:val="toc 3"/>
    <w:basedOn w:val="1"/>
    <w:next w:val="1"/>
    <w:qFormat/>
    <w:uiPriority w:val="0"/>
    <w:pPr>
      <w:ind w:left="840" w:leftChars="400"/>
    </w:pPr>
  </w:style>
  <w:style w:type="paragraph" w:styleId="22">
    <w:name w:val="Plain Text"/>
    <w:basedOn w:val="1"/>
    <w:link w:val="122"/>
    <w:qFormat/>
    <w:uiPriority w:val="0"/>
    <w:rPr>
      <w:rFonts w:ascii="宋体" w:hAnsi="Courier New"/>
      <w:szCs w:val="20"/>
    </w:rPr>
  </w:style>
  <w:style w:type="paragraph" w:styleId="23">
    <w:name w:val="toc 8"/>
    <w:basedOn w:val="1"/>
    <w:next w:val="1"/>
    <w:qFormat/>
    <w:uiPriority w:val="0"/>
    <w:pPr>
      <w:ind w:left="2940" w:leftChars="1400"/>
    </w:pPr>
  </w:style>
  <w:style w:type="paragraph" w:styleId="24">
    <w:name w:val="Date"/>
    <w:basedOn w:val="1"/>
    <w:next w:val="1"/>
    <w:qFormat/>
    <w:uiPriority w:val="0"/>
    <w:pPr>
      <w:ind w:left="100" w:leftChars="2500"/>
    </w:pPr>
  </w:style>
  <w:style w:type="paragraph" w:styleId="25">
    <w:name w:val="Body Text Indent 2"/>
    <w:basedOn w:val="1"/>
    <w:qFormat/>
    <w:uiPriority w:val="0"/>
    <w:pPr>
      <w:spacing w:line="520" w:lineRule="exact"/>
      <w:ind w:firstLine="480" w:firstLineChars="200"/>
      <w:jc w:val="left"/>
    </w:pPr>
    <w:rPr>
      <w:rFonts w:ascii="华文中宋" w:hAnsi="华文中宋" w:eastAsia="华文中宋"/>
      <w:sz w:val="24"/>
    </w:rPr>
  </w:style>
  <w:style w:type="paragraph" w:styleId="26">
    <w:name w:val="Balloon Text"/>
    <w:basedOn w:val="1"/>
    <w:qFormat/>
    <w:uiPriority w:val="0"/>
    <w:rPr>
      <w:sz w:val="18"/>
      <w:szCs w:val="18"/>
    </w:rPr>
  </w:style>
  <w:style w:type="paragraph" w:styleId="27">
    <w:name w:val="footer"/>
    <w:basedOn w:val="1"/>
    <w:qFormat/>
    <w:uiPriority w:val="0"/>
    <w:pPr>
      <w:tabs>
        <w:tab w:val="center" w:pos="4153"/>
        <w:tab w:val="right" w:pos="8306"/>
      </w:tabs>
      <w:snapToGrid w:val="0"/>
      <w:jc w:val="left"/>
    </w:pPr>
    <w:rPr>
      <w:sz w:val="18"/>
      <w:szCs w:val="18"/>
    </w:rPr>
  </w:style>
  <w:style w:type="paragraph" w:styleId="2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0"/>
  </w:style>
  <w:style w:type="paragraph" w:styleId="30">
    <w:name w:val="toc 4"/>
    <w:basedOn w:val="1"/>
    <w:next w:val="1"/>
    <w:qFormat/>
    <w:uiPriority w:val="0"/>
    <w:pPr>
      <w:ind w:left="1260" w:leftChars="600"/>
    </w:pPr>
  </w:style>
  <w:style w:type="paragraph" w:styleId="31">
    <w:name w:val="List"/>
    <w:basedOn w:val="1"/>
    <w:qFormat/>
    <w:uiPriority w:val="0"/>
    <w:pPr>
      <w:widowControl/>
      <w:tabs>
        <w:tab w:val="left" w:pos="907"/>
      </w:tabs>
      <w:adjustRightInd w:val="0"/>
      <w:spacing w:line="340" w:lineRule="exact"/>
      <w:jc w:val="center"/>
      <w:textAlignment w:val="baseline"/>
    </w:pPr>
    <w:rPr>
      <w:rFonts w:eastAsia="仿宋_GB2312"/>
      <w:color w:val="000000"/>
      <w:kern w:val="0"/>
      <w:szCs w:val="20"/>
    </w:rPr>
  </w:style>
  <w:style w:type="paragraph" w:styleId="32">
    <w:name w:val="toc 6"/>
    <w:basedOn w:val="1"/>
    <w:next w:val="1"/>
    <w:qFormat/>
    <w:uiPriority w:val="0"/>
    <w:pPr>
      <w:ind w:left="2100" w:leftChars="1000"/>
    </w:pPr>
  </w:style>
  <w:style w:type="paragraph" w:styleId="33">
    <w:name w:val="Body Text Indent 3"/>
    <w:basedOn w:val="1"/>
    <w:qFormat/>
    <w:uiPriority w:val="0"/>
    <w:pPr>
      <w:ind w:firstLine="550"/>
    </w:pPr>
    <w:rPr>
      <w:szCs w:val="20"/>
    </w:rPr>
  </w:style>
  <w:style w:type="paragraph" w:styleId="34">
    <w:name w:val="toc 2"/>
    <w:basedOn w:val="1"/>
    <w:next w:val="1"/>
    <w:qFormat/>
    <w:uiPriority w:val="0"/>
    <w:pPr>
      <w:ind w:left="420" w:leftChars="200"/>
    </w:pPr>
  </w:style>
  <w:style w:type="paragraph" w:styleId="35">
    <w:name w:val="toc 9"/>
    <w:basedOn w:val="1"/>
    <w:next w:val="1"/>
    <w:qFormat/>
    <w:uiPriority w:val="0"/>
    <w:pPr>
      <w:ind w:left="3360" w:leftChars="1600"/>
    </w:pPr>
  </w:style>
  <w:style w:type="paragraph" w:styleId="36">
    <w:name w:val="Body Text 2"/>
    <w:basedOn w:val="1"/>
    <w:qFormat/>
    <w:uiPriority w:val="0"/>
    <w:rPr>
      <w:rFonts w:ascii="宋体"/>
      <w:sz w:val="18"/>
    </w:rPr>
  </w:style>
  <w:style w:type="paragraph" w:styleId="37">
    <w:name w:val="Normal (Web)"/>
    <w:basedOn w:val="1"/>
    <w:qFormat/>
    <w:uiPriority w:val="0"/>
    <w:pPr>
      <w:widowControl/>
      <w:spacing w:beforeAutospacing="1" w:afterAutospacing="1"/>
      <w:jc w:val="left"/>
    </w:pPr>
    <w:rPr>
      <w:rFonts w:ascii="宋体" w:hAnsi="宋体"/>
      <w:color w:val="000000"/>
      <w:kern w:val="0"/>
      <w:sz w:val="24"/>
    </w:rPr>
  </w:style>
  <w:style w:type="paragraph" w:styleId="38">
    <w:name w:val="index 2"/>
    <w:basedOn w:val="1"/>
    <w:next w:val="1"/>
    <w:qFormat/>
    <w:uiPriority w:val="0"/>
    <w:pPr>
      <w:tabs>
        <w:tab w:val="left" w:pos="907"/>
      </w:tabs>
      <w:adjustRightInd w:val="0"/>
      <w:spacing w:line="280" w:lineRule="exact"/>
      <w:jc w:val="center"/>
      <w:textAlignment w:val="baseline"/>
    </w:pPr>
    <w:rPr>
      <w:rFonts w:ascii="宋体" w:hAnsi="宋体"/>
      <w:color w:val="000000"/>
      <w:kern w:val="0"/>
      <w:szCs w:val="20"/>
    </w:rPr>
  </w:style>
  <w:style w:type="paragraph" w:styleId="39">
    <w:name w:val="Body Text First Indent"/>
    <w:basedOn w:val="18"/>
    <w:link w:val="129"/>
    <w:qFormat/>
    <w:uiPriority w:val="0"/>
    <w:pPr>
      <w:ind w:firstLine="420" w:firstLineChars="100"/>
    </w:pPr>
    <w:rPr>
      <w:sz w:val="28"/>
    </w:rPr>
  </w:style>
  <w:style w:type="table" w:styleId="41">
    <w:name w:val="Table Grid"/>
    <w:basedOn w:val="4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page number"/>
    <w:basedOn w:val="42"/>
    <w:qFormat/>
    <w:uiPriority w:val="0"/>
  </w:style>
  <w:style w:type="character" w:styleId="44">
    <w:name w:val="FollowedHyperlink"/>
    <w:qFormat/>
    <w:uiPriority w:val="0"/>
    <w:rPr>
      <w:color w:val="800080"/>
      <w:u w:val="single"/>
    </w:rPr>
  </w:style>
  <w:style w:type="character" w:styleId="45">
    <w:name w:val="Hyperlink"/>
    <w:qFormat/>
    <w:uiPriority w:val="0"/>
    <w:rPr>
      <w:color w:val="0000FF"/>
      <w:u w:val="single"/>
    </w:rPr>
  </w:style>
  <w:style w:type="character" w:styleId="46">
    <w:name w:val="annotation reference"/>
    <w:qFormat/>
    <w:uiPriority w:val="0"/>
    <w:rPr>
      <w:sz w:val="18"/>
      <w:szCs w:val="21"/>
    </w:rPr>
  </w:style>
  <w:style w:type="paragraph" w:customStyle="1" w:styleId="47">
    <w:name w:val="表格文字"/>
    <w:basedOn w:val="39"/>
    <w:qFormat/>
    <w:uiPriority w:val="0"/>
    <w:pPr>
      <w:adjustRightInd w:val="0"/>
      <w:snapToGrid w:val="0"/>
      <w:spacing w:line="280" w:lineRule="exact"/>
      <w:jc w:val="center"/>
    </w:pPr>
    <w:rPr>
      <w:rFonts w:eastAsia="仿宋_GB2312"/>
      <w:color w:val="000000"/>
      <w:kern w:val="0"/>
      <w:sz w:val="21"/>
      <w:szCs w:val="21"/>
      <w:lang w:val="en-GB"/>
    </w:rPr>
  </w:style>
  <w:style w:type="paragraph" w:customStyle="1" w:styleId="48">
    <w:name w:val="报告"/>
    <w:basedOn w:val="1"/>
    <w:qFormat/>
    <w:uiPriority w:val="0"/>
    <w:pPr>
      <w:adjustRightInd w:val="0"/>
      <w:ind w:firstLine="505"/>
      <w:textAlignment w:val="center"/>
    </w:pPr>
    <w:rPr>
      <w:kern w:val="0"/>
      <w:sz w:val="24"/>
      <w:szCs w:val="20"/>
    </w:rPr>
  </w:style>
  <w:style w:type="paragraph" w:customStyle="1" w:styleId="49">
    <w:name w:val="样式2"/>
    <w:basedOn w:val="1"/>
    <w:qFormat/>
    <w:uiPriority w:val="0"/>
    <w:pPr>
      <w:tabs>
        <w:tab w:val="left" w:pos="1560"/>
      </w:tabs>
      <w:spacing w:line="440" w:lineRule="exact"/>
      <w:ind w:left="1560" w:hanging="720"/>
    </w:pPr>
    <w:rPr>
      <w:rFonts w:eastAsia="黑体"/>
      <w:sz w:val="24"/>
      <w:szCs w:val="20"/>
    </w:rPr>
  </w:style>
  <w:style w:type="paragraph" w:customStyle="1" w:styleId="50">
    <w:name w:val="项目1"/>
    <w:basedOn w:val="1"/>
    <w:qFormat/>
    <w:uiPriority w:val="0"/>
    <w:pPr>
      <w:tabs>
        <w:tab w:val="left" w:pos="720"/>
      </w:tabs>
      <w:snapToGrid w:val="0"/>
      <w:spacing w:line="0" w:lineRule="atLeast"/>
      <w:ind w:left="720" w:hanging="720"/>
    </w:pPr>
    <w:rPr>
      <w:szCs w:val="20"/>
    </w:rPr>
  </w:style>
  <w:style w:type="paragraph" w:customStyle="1" w:styleId="51">
    <w:name w:val="_Style 101"/>
    <w:basedOn w:val="1"/>
    <w:next w:val="1"/>
    <w:qFormat/>
    <w:uiPriority w:val="0"/>
    <w:pPr>
      <w:ind w:firstLine="200" w:firstLineChars="200"/>
    </w:pPr>
  </w:style>
  <w:style w:type="paragraph" w:customStyle="1" w:styleId="52">
    <w:name w:val="_Style 1"/>
    <w:basedOn w:val="1"/>
    <w:qFormat/>
    <w:uiPriority w:val="0"/>
    <w:pPr>
      <w:ind w:firstLine="420" w:firstLineChars="200"/>
    </w:pPr>
    <w:rPr>
      <w:rFonts w:ascii="Calibri" w:hAnsi="Calibri"/>
      <w:szCs w:val="22"/>
    </w:rPr>
  </w:style>
  <w:style w:type="paragraph" w:customStyle="1" w:styleId="53">
    <w:name w:val="样式1"/>
    <w:basedOn w:val="22"/>
    <w:qFormat/>
    <w:uiPriority w:val="0"/>
    <w:pPr>
      <w:ind w:firstLine="567"/>
    </w:pPr>
  </w:style>
  <w:style w:type="paragraph" w:customStyle="1" w:styleId="54">
    <w:name w:val="报告表正文"/>
    <w:basedOn w:val="1"/>
    <w:qFormat/>
    <w:uiPriority w:val="0"/>
    <w:pPr>
      <w:adjustRightInd w:val="0"/>
      <w:spacing w:line="312" w:lineRule="auto"/>
      <w:ind w:left="113" w:right="113" w:firstLine="482"/>
    </w:pPr>
    <w:rPr>
      <w:kern w:val="0"/>
      <w:sz w:val="24"/>
      <w:szCs w:val="20"/>
    </w:rPr>
  </w:style>
  <w:style w:type="paragraph" w:customStyle="1" w:styleId="55">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56">
    <w:name w:val="表文字"/>
    <w:basedOn w:val="1"/>
    <w:qFormat/>
    <w:uiPriority w:val="0"/>
    <w:pPr>
      <w:jc w:val="center"/>
    </w:pPr>
    <w:rPr>
      <w:szCs w:val="21"/>
    </w:rPr>
  </w:style>
  <w:style w:type="paragraph" w:customStyle="1" w:styleId="57">
    <w:name w:val="xl88"/>
    <w:basedOn w:val="1"/>
    <w:qFormat/>
    <w:uiPriority w:val="0"/>
    <w:pPr>
      <w:widowControl/>
      <w:pBdr>
        <w:top w:val="single" w:color="auto" w:sz="4" w:space="0"/>
        <w:bottom w:val="double" w:color="auto" w:sz="6" w:space="0"/>
        <w:right w:val="single" w:color="auto" w:sz="4" w:space="0"/>
      </w:pBdr>
      <w:spacing w:beforeAutospacing="1" w:afterAutospacing="1"/>
      <w:jc w:val="center"/>
      <w:textAlignment w:val="center"/>
    </w:pPr>
    <w:rPr>
      <w:rFonts w:eastAsia="Arial Unicode MS"/>
      <w:color w:val="000000"/>
      <w:kern w:val="0"/>
      <w:sz w:val="20"/>
      <w:szCs w:val="20"/>
      <w:lang w:eastAsia="en-US"/>
    </w:rPr>
  </w:style>
  <w:style w:type="paragraph" w:customStyle="1" w:styleId="58">
    <w:name w:val="text"/>
    <w:basedOn w:val="1"/>
    <w:qFormat/>
    <w:uiPriority w:val="0"/>
    <w:pPr>
      <w:widowControl/>
      <w:jc w:val="left"/>
    </w:pPr>
    <w:rPr>
      <w:rFonts w:ascii="Courier New" w:hAnsi="Courier New" w:eastAsia="Arial Unicode MS" w:cs="Courier New"/>
      <w:color w:val="000000"/>
      <w:kern w:val="0"/>
      <w:sz w:val="22"/>
      <w:szCs w:val="22"/>
    </w:rPr>
  </w:style>
  <w:style w:type="paragraph" w:customStyle="1" w:styleId="59">
    <w:name w:val="表格"/>
    <w:basedOn w:val="1"/>
    <w:qFormat/>
    <w:uiPriority w:val="0"/>
    <w:pPr>
      <w:keepNext/>
      <w:adjustRightInd w:val="0"/>
      <w:spacing w:line="312" w:lineRule="atLeast"/>
      <w:jc w:val="center"/>
      <w:textAlignment w:val="baseline"/>
    </w:pPr>
    <w:rPr>
      <w:kern w:val="0"/>
      <w:szCs w:val="20"/>
    </w:rPr>
  </w:style>
  <w:style w:type="paragraph" w:customStyle="1" w:styleId="60">
    <w:name w:val="12 Char Char Char Char"/>
    <w:basedOn w:val="1"/>
    <w:qFormat/>
    <w:uiPriority w:val="0"/>
    <w:pPr>
      <w:ind w:firstLine="200" w:firstLineChars="200"/>
      <w:jc w:val="left"/>
    </w:pPr>
    <w:rPr>
      <w:szCs w:val="20"/>
    </w:rPr>
  </w:style>
  <w:style w:type="paragraph" w:customStyle="1" w:styleId="61">
    <w:name w:val="p0"/>
    <w:basedOn w:val="1"/>
    <w:qFormat/>
    <w:uiPriority w:val="0"/>
    <w:pPr>
      <w:widowControl/>
    </w:pPr>
    <w:rPr>
      <w:kern w:val="0"/>
      <w:szCs w:val="21"/>
    </w:rPr>
  </w:style>
  <w:style w:type="paragraph" w:customStyle="1" w:styleId="62">
    <w:name w:val="表格式"/>
    <w:basedOn w:val="1"/>
    <w:qFormat/>
    <w:uiPriority w:val="0"/>
    <w:pPr>
      <w:overflowPunct w:val="0"/>
      <w:spacing w:line="360" w:lineRule="exact"/>
      <w:jc w:val="center"/>
    </w:pPr>
    <w:rPr>
      <w:color w:val="000000"/>
      <w:sz w:val="24"/>
    </w:rPr>
  </w:style>
  <w:style w:type="paragraph" w:customStyle="1" w:styleId="63">
    <w:name w:val="Body Text 21"/>
    <w:basedOn w:val="1"/>
    <w:qFormat/>
    <w:uiPriority w:val="0"/>
    <w:pPr>
      <w:adjustRightInd w:val="0"/>
      <w:spacing w:line="360" w:lineRule="atLeast"/>
      <w:ind w:firstLine="425"/>
      <w:textAlignment w:val="baseline"/>
    </w:pPr>
    <w:rPr>
      <w:rFonts w:ascii="宋体"/>
      <w:kern w:val="0"/>
      <w:sz w:val="24"/>
      <w:szCs w:val="20"/>
    </w:rPr>
  </w:style>
  <w:style w:type="paragraph" w:customStyle="1" w:styleId="64">
    <w:name w:val="验收标2"/>
    <w:basedOn w:val="3"/>
    <w:qFormat/>
    <w:uiPriority w:val="0"/>
    <w:pPr>
      <w:spacing w:beforeLines="50" w:afterLines="50"/>
    </w:pPr>
    <w:rPr>
      <w:bCs/>
      <w:sz w:val="28"/>
      <w:szCs w:val="28"/>
    </w:rPr>
  </w:style>
  <w:style w:type="paragraph" w:customStyle="1" w:styleId="65">
    <w:name w:val="标准"/>
    <w:basedOn w:val="1"/>
    <w:qFormat/>
    <w:uiPriority w:val="0"/>
    <w:pPr>
      <w:keepNext/>
      <w:adjustRightInd w:val="0"/>
      <w:snapToGrid w:val="0"/>
      <w:spacing w:line="312" w:lineRule="atLeast"/>
      <w:ind w:firstLine="590"/>
      <w:textAlignment w:val="baseline"/>
    </w:pPr>
    <w:rPr>
      <w:snapToGrid w:val="0"/>
      <w:kern w:val="0"/>
      <w:szCs w:val="20"/>
    </w:rPr>
  </w:style>
  <w:style w:type="paragraph" w:customStyle="1" w:styleId="66">
    <w:name w:val="表头"/>
    <w:basedOn w:val="59"/>
    <w:qFormat/>
    <w:uiPriority w:val="0"/>
    <w:pPr>
      <w:outlineLvl w:val="0"/>
    </w:pPr>
    <w:rPr>
      <w:rFonts w:ascii="宋体" w:hAnsi="宋体"/>
      <w:b/>
      <w:szCs w:val="21"/>
    </w:rPr>
  </w:style>
  <w:style w:type="paragraph" w:customStyle="1" w:styleId="67">
    <w:name w:val="1.1.1.1-"/>
    <w:basedOn w:val="1"/>
    <w:qFormat/>
    <w:uiPriority w:val="0"/>
    <w:pPr>
      <w:tabs>
        <w:tab w:val="left" w:pos="398"/>
        <w:tab w:val="left" w:pos="1260"/>
        <w:tab w:val="left" w:pos="2268"/>
      </w:tabs>
      <w:wordWrap w:val="0"/>
      <w:adjustRightInd w:val="0"/>
      <w:snapToGrid w:val="0"/>
      <w:spacing w:line="360" w:lineRule="atLeast"/>
      <w:ind w:left="398" w:firstLine="1587"/>
      <w:textAlignment w:val="baseline"/>
    </w:pPr>
    <w:rPr>
      <w:rFonts w:ascii="Arial" w:hAnsi="Arial" w:eastAsia="Gulim"/>
      <w:kern w:val="0"/>
      <w:sz w:val="20"/>
      <w:szCs w:val="20"/>
    </w:rPr>
  </w:style>
  <w:style w:type="paragraph" w:customStyle="1" w:styleId="68">
    <w:name w:val="表头2"/>
    <w:basedOn w:val="66"/>
    <w:qFormat/>
    <w:uiPriority w:val="0"/>
    <w:pPr>
      <w:numPr>
        <w:ilvl w:val="3"/>
        <w:numId w:val="1"/>
      </w:numPr>
      <w:spacing w:line="400" w:lineRule="atLeast"/>
    </w:pPr>
  </w:style>
  <w:style w:type="paragraph" w:customStyle="1" w:styleId="69">
    <w:name w:val="Table Paragraph"/>
    <w:basedOn w:val="1"/>
    <w:qFormat/>
    <w:uiPriority w:val="1"/>
    <w:pPr>
      <w:jc w:val="center"/>
    </w:pPr>
    <w:rPr>
      <w:rFonts w:ascii="宋体" w:hAnsi="宋体" w:cs="宋体"/>
    </w:rPr>
  </w:style>
  <w:style w:type="paragraph" w:customStyle="1" w:styleId="70">
    <w:name w:val="1 Char Char Char Char Char Char Char Char Char Char Char Char Char Char Char Char"/>
    <w:basedOn w:val="1"/>
    <w:qFormat/>
    <w:uiPriority w:val="0"/>
  </w:style>
  <w:style w:type="paragraph" w:customStyle="1" w:styleId="71">
    <w:name w:val="表格内容"/>
    <w:basedOn w:val="13"/>
    <w:qFormat/>
    <w:uiPriority w:val="0"/>
    <w:pPr>
      <w:spacing w:line="360" w:lineRule="exact"/>
      <w:jc w:val="center"/>
    </w:pPr>
    <w:rPr>
      <w:rFonts w:ascii="宋体" w:hAnsi="宋体"/>
      <w:snapToGrid w:val="0"/>
      <w:kern w:val="0"/>
      <w:szCs w:val="21"/>
    </w:rPr>
  </w:style>
  <w:style w:type="paragraph" w:customStyle="1" w:styleId="72">
    <w:name w:val="报告1"/>
    <w:basedOn w:val="48"/>
    <w:qFormat/>
    <w:uiPriority w:val="0"/>
    <w:pPr>
      <w:textAlignment w:val="auto"/>
    </w:pPr>
    <w:rPr>
      <w:rFonts w:ascii="TimesNewRoman" w:hAnsi="TimesNewRoman"/>
      <w:kern w:val="24"/>
    </w:rPr>
  </w:style>
  <w:style w:type="paragraph" w:customStyle="1" w:styleId="73">
    <w:name w:val="3"/>
    <w:basedOn w:val="1"/>
    <w:next w:val="22"/>
    <w:qFormat/>
    <w:uiPriority w:val="0"/>
    <w:rPr>
      <w:rFonts w:ascii="宋体" w:hAnsi="Courier New"/>
      <w:szCs w:val="21"/>
    </w:rPr>
  </w:style>
  <w:style w:type="paragraph" w:customStyle="1" w:styleId="74">
    <w:name w:val="xl50"/>
    <w:basedOn w:val="1"/>
    <w:qFormat/>
    <w:uiPriority w:val="0"/>
    <w:pPr>
      <w:widowControl/>
      <w:pBdr>
        <w:left w:val="single" w:color="auto" w:sz="4" w:space="0"/>
        <w:right w:val="single" w:color="auto" w:sz="4" w:space="0"/>
      </w:pBdr>
      <w:spacing w:before="100" w:after="100"/>
      <w:jc w:val="center"/>
      <w:textAlignment w:val="center"/>
    </w:pPr>
    <w:rPr>
      <w:rFonts w:ascii="宋体" w:hAnsi="宋体"/>
      <w:kern w:val="0"/>
      <w:sz w:val="24"/>
      <w:szCs w:val="20"/>
    </w:rPr>
  </w:style>
  <w:style w:type="paragraph" w:customStyle="1" w:styleId="75">
    <w:name w:val="OIC1 Address"/>
    <w:basedOn w:val="1"/>
    <w:qFormat/>
    <w:uiPriority w:val="0"/>
    <w:pPr>
      <w:tabs>
        <w:tab w:val="left" w:pos="1440"/>
      </w:tabs>
      <w:jc w:val="center"/>
    </w:pPr>
    <w:rPr>
      <w:rFonts w:ascii="Arial" w:hAnsi="Arial"/>
      <w:color w:val="000080"/>
      <w:kern w:val="0"/>
      <w:sz w:val="20"/>
      <w:szCs w:val="20"/>
    </w:rPr>
  </w:style>
  <w:style w:type="paragraph" w:customStyle="1" w:styleId="76">
    <w:name w:val="正文样式1"/>
    <w:basedOn w:val="1"/>
    <w:qFormat/>
    <w:uiPriority w:val="0"/>
    <w:pPr>
      <w:adjustRightInd w:val="0"/>
      <w:ind w:firstLine="360" w:firstLineChars="150"/>
      <w:textAlignment w:val="baseline"/>
    </w:pPr>
    <w:rPr>
      <w:rFonts w:ascii="宋体" w:hAnsi="宋体"/>
      <w:color w:val="000000"/>
      <w:kern w:val="0"/>
      <w:sz w:val="24"/>
      <w:szCs w:val="20"/>
    </w:rPr>
  </w:style>
  <w:style w:type="paragraph" w:customStyle="1" w:styleId="77">
    <w:name w:val="正文（首行缩进）"/>
    <w:basedOn w:val="1"/>
    <w:qFormat/>
    <w:uiPriority w:val="0"/>
    <w:pPr>
      <w:snapToGrid w:val="0"/>
      <w:spacing w:line="240" w:lineRule="auto"/>
      <w:ind w:firstLine="360" w:firstLineChars="150"/>
      <w:jc w:val="center"/>
    </w:pPr>
    <w:rPr>
      <w:rFonts w:eastAsia="黑体"/>
      <w:color w:val="000000"/>
    </w:rPr>
  </w:style>
  <w:style w:type="paragraph" w:customStyle="1" w:styleId="78">
    <w:name w:val="xl23"/>
    <w:basedOn w:val="1"/>
    <w:qFormat/>
    <w:uiPriority w:val="0"/>
    <w:pPr>
      <w:widowControl/>
      <w:pBdr>
        <w:right w:val="single" w:color="auto" w:sz="4" w:space="0"/>
      </w:pBdr>
      <w:spacing w:beforeAutospacing="1" w:afterAutospacing="1"/>
      <w:jc w:val="center"/>
      <w:textAlignment w:val="top"/>
    </w:pPr>
    <w:rPr>
      <w:rFonts w:ascii="Arial Unicode MS" w:hAnsi="Arial Unicode MS" w:eastAsia="Arial Unicode MS" w:cs="Arial Unicode MS"/>
      <w:kern w:val="0"/>
      <w:szCs w:val="21"/>
    </w:rPr>
  </w:style>
  <w:style w:type="paragraph" w:customStyle="1" w:styleId="79">
    <w:name w:val="Indent1"/>
    <w:basedOn w:val="1"/>
    <w:qFormat/>
    <w:uiPriority w:val="0"/>
    <w:pPr>
      <w:overflowPunct w:val="0"/>
      <w:autoSpaceDE w:val="0"/>
      <w:autoSpaceDN w:val="0"/>
      <w:adjustRightInd w:val="0"/>
      <w:ind w:left="1440" w:hanging="720"/>
      <w:jc w:val="left"/>
      <w:textAlignment w:val="baseline"/>
    </w:pPr>
    <w:rPr>
      <w:rFonts w:ascii="Arial" w:hAnsi="Arial"/>
      <w:kern w:val="0"/>
      <w:sz w:val="22"/>
      <w:szCs w:val="20"/>
    </w:rPr>
  </w:style>
  <w:style w:type="paragraph" w:customStyle="1" w:styleId="80">
    <w:name w:val="正文(首行缩进)"/>
    <w:basedOn w:val="1"/>
    <w:qFormat/>
    <w:uiPriority w:val="0"/>
    <w:pPr>
      <w:ind w:firstLine="560" w:firstLineChars="200"/>
      <w:jc w:val="left"/>
    </w:pPr>
    <w:rPr>
      <w:color w:val="000000"/>
      <w:szCs w:val="28"/>
    </w:rPr>
  </w:style>
  <w:style w:type="paragraph" w:customStyle="1" w:styleId="81">
    <w:name w:val="报告表格"/>
    <w:basedOn w:val="1"/>
    <w:qFormat/>
    <w:uiPriority w:val="0"/>
    <w:pPr>
      <w:autoSpaceDE w:val="0"/>
      <w:autoSpaceDN w:val="0"/>
      <w:adjustRightInd w:val="0"/>
      <w:jc w:val="center"/>
      <w:textAlignment w:val="bottom"/>
    </w:pPr>
    <w:rPr>
      <w:kern w:val="0"/>
      <w:szCs w:val="20"/>
    </w:rPr>
  </w:style>
  <w:style w:type="paragraph" w:customStyle="1" w:styleId="82">
    <w:name w:val="图表标题"/>
    <w:basedOn w:val="48"/>
    <w:next w:val="81"/>
    <w:qFormat/>
    <w:uiPriority w:val="0"/>
    <w:pPr>
      <w:adjustRightInd/>
      <w:spacing w:line="240" w:lineRule="auto"/>
      <w:ind w:firstLine="0"/>
      <w:jc w:val="center"/>
      <w:textAlignment w:val="auto"/>
    </w:pPr>
    <w:rPr>
      <w:kern w:val="2"/>
      <w:szCs w:val="24"/>
    </w:rPr>
  </w:style>
  <w:style w:type="paragraph" w:customStyle="1" w:styleId="83">
    <w:name w:val="xl28"/>
    <w:basedOn w:val="1"/>
    <w:qFormat/>
    <w:uiPriority w:val="0"/>
    <w:pPr>
      <w:widowControl/>
      <w:pBdr>
        <w:left w:val="single" w:color="auto" w:sz="4" w:space="0"/>
        <w:bottom w:val="single" w:color="auto" w:sz="4" w:space="0"/>
        <w:right w:val="single" w:color="auto" w:sz="4" w:space="0"/>
      </w:pBdr>
      <w:spacing w:beforeAutospacing="1" w:afterAutospacing="1"/>
      <w:jc w:val="center"/>
      <w:textAlignment w:val="top"/>
    </w:pPr>
    <w:rPr>
      <w:rFonts w:ascii="宋体" w:hAnsi="宋体"/>
      <w:kern w:val="0"/>
      <w:sz w:val="24"/>
    </w:rPr>
  </w:style>
  <w:style w:type="paragraph" w:customStyle="1" w:styleId="84">
    <w:name w:val="ST20_1"/>
    <w:basedOn w:val="1"/>
    <w:qFormat/>
    <w:uiPriority w:val="0"/>
    <w:pPr>
      <w:adjustRightInd w:val="0"/>
      <w:jc w:val="center"/>
      <w:textAlignment w:val="baseline"/>
    </w:pPr>
    <w:rPr>
      <w:rFonts w:ascii="宋体"/>
      <w:kern w:val="0"/>
      <w:szCs w:val="20"/>
    </w:rPr>
  </w:style>
  <w:style w:type="paragraph" w:customStyle="1" w:styleId="85">
    <w:name w:val="正文文字1"/>
    <w:basedOn w:val="1"/>
    <w:qFormat/>
    <w:uiPriority w:val="0"/>
    <w:pPr>
      <w:ind w:firstLine="560" w:firstLineChars="200"/>
    </w:pPr>
    <w:rPr>
      <w:szCs w:val="28"/>
    </w:rPr>
  </w:style>
  <w:style w:type="paragraph" w:customStyle="1" w:styleId="86">
    <w:name w:val="2"/>
    <w:basedOn w:val="1"/>
    <w:qFormat/>
    <w:uiPriority w:val="0"/>
    <w:pPr>
      <w:widowControl/>
      <w:spacing w:beforeAutospacing="1" w:afterAutospacing="1"/>
      <w:jc w:val="left"/>
    </w:pPr>
    <w:rPr>
      <w:rFonts w:ascii="Arial Unicode MS" w:hAnsi="Arial Unicode MS" w:eastAsia="Arial Unicode MS" w:cs="Arial Unicode MS"/>
      <w:color w:val="000000"/>
      <w:kern w:val="0"/>
      <w:sz w:val="24"/>
    </w:rPr>
  </w:style>
  <w:style w:type="paragraph" w:customStyle="1" w:styleId="87">
    <w:name w:val="a"/>
    <w:basedOn w:val="1"/>
    <w:qFormat/>
    <w:uiPriority w:val="0"/>
    <w:pPr>
      <w:widowControl/>
      <w:spacing w:beforeAutospacing="1" w:afterAutospacing="1"/>
      <w:jc w:val="left"/>
    </w:pPr>
    <w:rPr>
      <w:rFonts w:ascii="Arial Unicode MS" w:hAnsi="Arial Unicode MS" w:eastAsia="Arial Unicode MS" w:cs="Arial Unicode MS"/>
      <w:color w:val="000000"/>
      <w:kern w:val="0"/>
      <w:sz w:val="24"/>
    </w:rPr>
  </w:style>
  <w:style w:type="paragraph" w:customStyle="1" w:styleId="88">
    <w:name w:val="_Style 87"/>
    <w:basedOn w:val="1"/>
    <w:qFormat/>
    <w:uiPriority w:val="0"/>
    <w:pPr>
      <w:ind w:firstLine="420" w:firstLineChars="200"/>
    </w:pPr>
    <w:rPr>
      <w:rFonts w:ascii="Calibri" w:hAnsi="Calibri"/>
      <w:szCs w:val="22"/>
    </w:rPr>
  </w:style>
  <w:style w:type="paragraph" w:customStyle="1" w:styleId="89">
    <w:name w:val="陈光的正文"/>
    <w:basedOn w:val="1"/>
    <w:qFormat/>
    <w:uiPriority w:val="0"/>
    <w:pPr>
      <w:ind w:firstLine="567"/>
    </w:pPr>
    <w:rPr>
      <w:rFonts w:ascii="Arial" w:hAnsi="Arial"/>
      <w:szCs w:val="20"/>
    </w:rPr>
  </w:style>
  <w:style w:type="paragraph" w:customStyle="1" w:styleId="90">
    <w:name w:val="OIC1 Company Name"/>
    <w:basedOn w:val="1"/>
    <w:qFormat/>
    <w:uiPriority w:val="0"/>
    <w:pPr>
      <w:jc w:val="center"/>
    </w:pPr>
    <w:rPr>
      <w:rFonts w:ascii="Arial Black" w:hAnsi="Arial Black"/>
      <w:color w:val="000080"/>
      <w:spacing w:val="40"/>
      <w:kern w:val="0"/>
      <w:szCs w:val="20"/>
    </w:rPr>
  </w:style>
  <w:style w:type="paragraph" w:customStyle="1" w:styleId="91">
    <w:name w:val="xl22"/>
    <w:basedOn w:val="1"/>
    <w:qFormat/>
    <w:uiPriority w:val="0"/>
    <w:pPr>
      <w:widowControl/>
      <w:spacing w:beforeAutospacing="1" w:afterAutospacing="1"/>
      <w:jc w:val="center"/>
    </w:pPr>
    <w:rPr>
      <w:rFonts w:ascii="宋体" w:hAnsi="宋体"/>
      <w:kern w:val="0"/>
      <w:sz w:val="24"/>
    </w:rPr>
  </w:style>
  <w:style w:type="paragraph" w:customStyle="1" w:styleId="92">
    <w:name w:val="报告正文"/>
    <w:basedOn w:val="1"/>
    <w:link w:val="128"/>
    <w:qFormat/>
    <w:uiPriority w:val="0"/>
    <w:pPr>
      <w:adjustRightInd w:val="0"/>
      <w:spacing w:beforeLines="25"/>
      <w:ind w:firstLine="482"/>
      <w:textAlignment w:val="baseline"/>
    </w:pPr>
    <w:rPr>
      <w:kern w:val="24"/>
      <w:sz w:val="24"/>
      <w:szCs w:val="21"/>
    </w:rPr>
  </w:style>
  <w:style w:type="paragraph" w:customStyle="1" w:styleId="93">
    <w:name w:val="body 1"/>
    <w:basedOn w:val="1"/>
    <w:qFormat/>
    <w:uiPriority w:val="0"/>
    <w:pPr>
      <w:adjustRightInd w:val="0"/>
      <w:spacing w:line="360" w:lineRule="atLeast"/>
      <w:textAlignment w:val="baseline"/>
    </w:pPr>
    <w:rPr>
      <w:rFonts w:ascii="華康中楷體" w:eastAsia="華康中楷體"/>
      <w:spacing w:val="60"/>
      <w:kern w:val="0"/>
      <w:sz w:val="24"/>
      <w:szCs w:val="20"/>
      <w:lang w:eastAsia="zh-TW"/>
    </w:rPr>
  </w:style>
  <w:style w:type="paragraph" w:customStyle="1" w:styleId="94">
    <w:name w:val="正文样式3"/>
    <w:basedOn w:val="1"/>
    <w:qFormat/>
    <w:uiPriority w:val="0"/>
    <w:pPr>
      <w:adjustRightInd w:val="0"/>
      <w:spacing w:line="20" w:lineRule="atLeast"/>
      <w:jc w:val="center"/>
      <w:textAlignment w:val="baseline"/>
    </w:pPr>
    <w:rPr>
      <w:kern w:val="0"/>
      <w:sz w:val="24"/>
      <w:szCs w:val="20"/>
    </w:rPr>
  </w:style>
  <w:style w:type="paragraph" w:customStyle="1" w:styleId="95">
    <w:name w:val="样式 表头 + 段前: 0.5 行 段后: 0.5 行"/>
    <w:basedOn w:val="1"/>
    <w:qFormat/>
    <w:uiPriority w:val="0"/>
    <w:pPr>
      <w:autoSpaceDE w:val="0"/>
      <w:autoSpaceDN w:val="0"/>
      <w:adjustRightInd w:val="0"/>
      <w:spacing w:beforeAutospacing="1" w:afterAutospacing="1" w:line="480" w:lineRule="exact"/>
      <w:jc w:val="center"/>
    </w:pPr>
    <w:rPr>
      <w:b/>
      <w:bCs/>
      <w:sz w:val="24"/>
      <w:szCs w:val="20"/>
      <w:lang w:val="zh-CN"/>
    </w:rPr>
  </w:style>
  <w:style w:type="paragraph" w:customStyle="1" w:styleId="96">
    <w:name w:val="Document Map1"/>
    <w:basedOn w:val="1"/>
    <w:qFormat/>
    <w:uiPriority w:val="0"/>
    <w:pPr>
      <w:shd w:val="clear" w:color="auto" w:fill="000080"/>
      <w:adjustRightInd w:val="0"/>
      <w:textAlignment w:val="baseline"/>
    </w:pPr>
    <w:rPr>
      <w:rFonts w:ascii="宋体"/>
      <w:kern w:val="0"/>
      <w:szCs w:val="20"/>
    </w:rPr>
  </w:style>
  <w:style w:type="paragraph" w:customStyle="1" w:styleId="97">
    <w:name w:val="xl39"/>
    <w:basedOn w:val="1"/>
    <w:qFormat/>
    <w:uiPriority w:val="0"/>
    <w:pPr>
      <w:widowControl/>
      <w:pBdr>
        <w:left w:val="single" w:color="auto" w:sz="4" w:space="0"/>
        <w:bottom w:val="single" w:color="auto" w:sz="4" w:space="0"/>
        <w:right w:val="single" w:color="auto" w:sz="4" w:space="0"/>
      </w:pBdr>
      <w:spacing w:beforeAutospacing="1" w:afterAutospacing="1"/>
      <w:jc w:val="center"/>
    </w:pPr>
    <w:rPr>
      <w:rFonts w:hint="eastAsia" w:ascii="仿宋_GB2312" w:hAnsi="宋体" w:eastAsia="仿宋_GB2312"/>
      <w:kern w:val="0"/>
      <w:sz w:val="24"/>
    </w:rPr>
  </w:style>
  <w:style w:type="paragraph" w:customStyle="1" w:styleId="98">
    <w:name w:val="xl27"/>
    <w:basedOn w:val="1"/>
    <w:qFormat/>
    <w:uiPriority w:val="0"/>
    <w:pPr>
      <w:widowControl/>
      <w:spacing w:beforeAutospacing="1" w:afterAutospacing="1"/>
      <w:jc w:val="left"/>
    </w:pPr>
    <w:rPr>
      <w:rFonts w:eastAsia="Arial Unicode MS"/>
      <w:kern w:val="0"/>
      <w:sz w:val="24"/>
    </w:rPr>
  </w:style>
  <w:style w:type="paragraph" w:customStyle="1" w:styleId="99">
    <w:name w:val="黑点"/>
    <w:basedOn w:val="1"/>
    <w:qFormat/>
    <w:uiPriority w:val="0"/>
    <w:pPr>
      <w:numPr>
        <w:ilvl w:val="0"/>
        <w:numId w:val="2"/>
      </w:numPr>
      <w:tabs>
        <w:tab w:val="left" w:pos="600"/>
        <w:tab w:val="clear" w:pos="2100"/>
      </w:tabs>
      <w:adjustRightInd w:val="0"/>
      <w:jc w:val="left"/>
      <w:textAlignment w:val="baseline"/>
    </w:pPr>
    <w:rPr>
      <w:rFonts w:ascii="宋体" w:hAnsi="宋体"/>
      <w:color w:val="000000"/>
      <w:kern w:val="0"/>
      <w:sz w:val="24"/>
      <w:szCs w:val="20"/>
    </w:rPr>
  </w:style>
  <w:style w:type="paragraph" w:customStyle="1" w:styleId="100">
    <w:name w:val="xl25"/>
    <w:basedOn w:val="1"/>
    <w:qFormat/>
    <w:uiPriority w:val="0"/>
    <w:pPr>
      <w:widowControl/>
      <w:spacing w:beforeAutospacing="1" w:afterAutospacing="1"/>
      <w:jc w:val="left"/>
    </w:pPr>
    <w:rPr>
      <w:rFonts w:eastAsia="Arial Unicode MS"/>
      <w:kern w:val="0"/>
      <w:sz w:val="24"/>
    </w:rPr>
  </w:style>
  <w:style w:type="paragraph" w:customStyle="1" w:styleId="101">
    <w:name w:val="小四表文左齐"/>
    <w:basedOn w:val="1"/>
    <w:qFormat/>
    <w:uiPriority w:val="0"/>
    <w:pPr>
      <w:ind w:left="1747" w:leftChars="258" w:hanging="1205" w:hangingChars="500"/>
    </w:pPr>
    <w:rPr>
      <w:rFonts w:hAnsi="宋体"/>
      <w:sz w:val="24"/>
    </w:rPr>
  </w:style>
  <w:style w:type="paragraph" w:customStyle="1" w:styleId="102">
    <w:name w:val="项目2"/>
    <w:basedOn w:val="1"/>
    <w:qFormat/>
    <w:uiPriority w:val="0"/>
    <w:pPr>
      <w:tabs>
        <w:tab w:val="left" w:pos="840"/>
      </w:tabs>
      <w:snapToGrid w:val="0"/>
      <w:spacing w:line="0" w:lineRule="atLeast"/>
      <w:ind w:left="840" w:hanging="420"/>
    </w:pPr>
    <w:rPr>
      <w:szCs w:val="20"/>
    </w:rPr>
  </w:style>
  <w:style w:type="paragraph" w:customStyle="1" w:styleId="103">
    <w:name w:val="图框"/>
    <w:basedOn w:val="1"/>
    <w:qFormat/>
    <w:uiPriority w:val="0"/>
    <w:pPr>
      <w:adjustRightInd w:val="0"/>
      <w:snapToGrid w:val="0"/>
      <w:spacing w:line="240" w:lineRule="atLeast"/>
      <w:jc w:val="center"/>
    </w:pPr>
    <w:rPr>
      <w:bCs/>
    </w:rPr>
  </w:style>
  <w:style w:type="paragraph" w:customStyle="1" w:styleId="104">
    <w:name w:val="_Style 103"/>
    <w:basedOn w:val="2"/>
    <w:next w:val="1"/>
    <w:qFormat/>
    <w:uiPriority w:val="0"/>
    <w:pPr>
      <w:widowControl/>
      <w:spacing w:line="276" w:lineRule="auto"/>
      <w:jc w:val="left"/>
      <w:outlineLvl w:val="9"/>
    </w:pPr>
    <w:rPr>
      <w:rFonts w:ascii="Cambria" w:hAnsi="Cambria"/>
      <w:color w:val="365F91"/>
      <w:kern w:val="0"/>
      <w:sz w:val="28"/>
      <w:szCs w:val="28"/>
    </w:rPr>
  </w:style>
  <w:style w:type="paragraph" w:customStyle="1" w:styleId="105">
    <w:name w:val="表、图名"/>
    <w:basedOn w:val="1"/>
    <w:qFormat/>
    <w:uiPriority w:val="0"/>
    <w:pPr>
      <w:adjustRightInd w:val="0"/>
      <w:snapToGrid w:val="0"/>
      <w:jc w:val="center"/>
    </w:pPr>
    <w:rPr>
      <w:rFonts w:ascii="宋体" w:hAnsi="宋体"/>
      <w:kern w:val="0"/>
      <w:szCs w:val="21"/>
    </w:rPr>
  </w:style>
  <w:style w:type="paragraph" w:customStyle="1" w:styleId="106">
    <w:name w:val="文本框"/>
    <w:basedOn w:val="1"/>
    <w:qFormat/>
    <w:uiPriority w:val="0"/>
    <w:pPr>
      <w:spacing w:line="240" w:lineRule="atLeast"/>
      <w:jc w:val="center"/>
    </w:pPr>
    <w:rPr>
      <w:rFonts w:eastAsia="楷体_GB2312"/>
      <w:szCs w:val="20"/>
    </w:rPr>
  </w:style>
  <w:style w:type="paragraph" w:customStyle="1" w:styleId="107">
    <w:name w:val="xl33"/>
    <w:basedOn w:val="1"/>
    <w:qFormat/>
    <w:uiPriority w:val="0"/>
    <w:pPr>
      <w:widowControl/>
      <w:spacing w:beforeAutospacing="1" w:afterAutospacing="1"/>
      <w:jc w:val="center"/>
    </w:pPr>
    <w:rPr>
      <w:rFonts w:ascii="宋体" w:hAnsi="宋体"/>
      <w:b/>
      <w:bCs/>
      <w:kern w:val="0"/>
      <w:sz w:val="24"/>
    </w:rPr>
  </w:style>
  <w:style w:type="paragraph" w:customStyle="1" w:styleId="108">
    <w:name w:val="表格标题"/>
    <w:basedOn w:val="48"/>
    <w:qFormat/>
    <w:uiPriority w:val="0"/>
    <w:pPr>
      <w:jc w:val="center"/>
      <w:textAlignment w:val="baseline"/>
    </w:pPr>
    <w:rPr>
      <w:rFonts w:ascii="TimesNewRoman" w:hAnsi="TimesNewRoman"/>
      <w:b/>
    </w:rPr>
  </w:style>
  <w:style w:type="paragraph" w:customStyle="1" w:styleId="109">
    <w:name w:val="c_hlp"/>
    <w:basedOn w:val="1"/>
    <w:qFormat/>
    <w:uiPriority w:val="0"/>
    <w:pPr>
      <w:widowControl/>
      <w:jc w:val="left"/>
    </w:pPr>
    <w:rPr>
      <w:rFonts w:ascii="宋体" w:hAnsi="宋体" w:cs="宋体"/>
      <w:kern w:val="0"/>
      <w:sz w:val="29"/>
      <w:szCs w:val="29"/>
    </w:rPr>
  </w:style>
  <w:style w:type="paragraph" w:customStyle="1" w:styleId="110">
    <w:name w:val="表名"/>
    <w:basedOn w:val="1"/>
    <w:qFormat/>
    <w:uiPriority w:val="0"/>
    <w:pPr>
      <w:keepNext/>
      <w:overflowPunct w:val="0"/>
      <w:adjustRightInd w:val="0"/>
      <w:jc w:val="center"/>
      <w:textAlignment w:val="baseline"/>
    </w:pPr>
    <w:rPr>
      <w:rFonts w:ascii="黑体" w:eastAsia="黑体"/>
      <w:kern w:val="24"/>
      <w:sz w:val="24"/>
    </w:rPr>
  </w:style>
  <w:style w:type="paragraph" w:customStyle="1" w:styleId="111">
    <w:name w:val="图"/>
    <w:basedOn w:val="59"/>
    <w:qFormat/>
    <w:uiPriority w:val="0"/>
    <w:pPr>
      <w:numPr>
        <w:ilvl w:val="4"/>
        <w:numId w:val="1"/>
      </w:numPr>
      <w:adjustRightInd/>
      <w:snapToGrid w:val="0"/>
      <w:spacing w:line="240" w:lineRule="auto"/>
      <w:textAlignment w:val="auto"/>
    </w:pPr>
    <w:rPr>
      <w:rFonts w:eastAsia="黑体"/>
      <w:b/>
      <w:szCs w:val="24"/>
    </w:rPr>
  </w:style>
  <w:style w:type="paragraph" w:customStyle="1" w:styleId="112">
    <w:name w:val="Char Char Char Char"/>
    <w:basedOn w:val="1"/>
    <w:qFormat/>
    <w:uiPriority w:val="0"/>
  </w:style>
  <w:style w:type="paragraph" w:customStyle="1" w:styleId="113">
    <w:name w:val="1.1.1-"/>
    <w:basedOn w:val="1"/>
    <w:qFormat/>
    <w:uiPriority w:val="0"/>
    <w:pPr>
      <w:tabs>
        <w:tab w:val="left" w:pos="1545"/>
      </w:tabs>
      <w:wordWrap w:val="0"/>
      <w:adjustRightInd w:val="0"/>
      <w:snapToGrid w:val="0"/>
      <w:spacing w:line="360" w:lineRule="atLeast"/>
      <w:ind w:left="1545" w:firstLine="1021"/>
      <w:textAlignment w:val="baseline"/>
    </w:pPr>
    <w:rPr>
      <w:rFonts w:ascii="Arial" w:hAnsi="Arial" w:eastAsia="Gulim"/>
      <w:kern w:val="0"/>
      <w:sz w:val="20"/>
      <w:szCs w:val="20"/>
    </w:rPr>
  </w:style>
  <w:style w:type="paragraph" w:customStyle="1" w:styleId="114">
    <w:name w:val="样式 标题 2标题 2 Char + (西文) Times New Roman (中文) 宋体 小四"/>
    <w:basedOn w:val="3"/>
    <w:qFormat/>
    <w:uiPriority w:val="0"/>
    <w:pPr>
      <w:keepNext w:val="0"/>
      <w:spacing w:beforeLines="150" w:afterLines="100" w:line="240" w:lineRule="auto"/>
      <w:jc w:val="center"/>
    </w:pPr>
    <w:rPr>
      <w:b w:val="0"/>
      <w:color w:val="FF0000"/>
      <w:sz w:val="32"/>
    </w:rPr>
  </w:style>
  <w:style w:type="paragraph" w:customStyle="1" w:styleId="115">
    <w:name w:val="Char Char Char"/>
    <w:basedOn w:val="1"/>
    <w:next w:val="1"/>
    <w:qFormat/>
    <w:uiPriority w:val="0"/>
    <w:pPr>
      <w:ind w:firstLine="200" w:firstLineChars="200"/>
    </w:pPr>
    <w:rPr>
      <w:rFonts w:ascii="宋体" w:hAnsi="宋体" w:cs="宋体"/>
      <w:sz w:val="24"/>
    </w:rPr>
  </w:style>
  <w:style w:type="paragraph" w:customStyle="1" w:styleId="116">
    <w:name w:val="列出段落1"/>
    <w:basedOn w:val="1"/>
    <w:qFormat/>
    <w:uiPriority w:val="34"/>
    <w:pPr>
      <w:ind w:firstLine="420" w:firstLineChars="200"/>
    </w:pPr>
  </w:style>
  <w:style w:type="paragraph" w:customStyle="1" w:styleId="117">
    <w:name w:val="表格小四"/>
    <w:basedOn w:val="1"/>
    <w:qFormat/>
    <w:uiPriority w:val="0"/>
    <w:pPr>
      <w:jc w:val="center"/>
    </w:pPr>
    <w:rPr>
      <w:sz w:val="24"/>
      <w:szCs w:val="20"/>
    </w:rPr>
  </w:style>
  <w:style w:type="paragraph" w:customStyle="1" w:styleId="118">
    <w:name w:val="Char1"/>
    <w:basedOn w:val="1"/>
    <w:qFormat/>
    <w:uiPriority w:val="0"/>
    <w:rPr>
      <w:sz w:val="24"/>
    </w:rPr>
  </w:style>
  <w:style w:type="paragraph" w:customStyle="1" w:styleId="119">
    <w:name w:val="图标"/>
    <w:basedOn w:val="1"/>
    <w:qFormat/>
    <w:uiPriority w:val="0"/>
    <w:pPr>
      <w:jc w:val="center"/>
    </w:pPr>
    <w:rPr>
      <w:rFonts w:ascii="黑体" w:hAnsi="华文中宋" w:eastAsia="黑体"/>
      <w:szCs w:val="20"/>
    </w:rPr>
  </w:style>
  <w:style w:type="character" w:customStyle="1" w:styleId="120">
    <w:name w:val="font11"/>
    <w:qFormat/>
    <w:uiPriority w:val="0"/>
    <w:rPr>
      <w:rFonts w:hint="default" w:ascii="Times New Roman" w:hAnsi="Times New Roman" w:cs="Times New Roman"/>
      <w:b/>
      <w:color w:val="000000"/>
      <w:sz w:val="21"/>
      <w:szCs w:val="21"/>
      <w:u w:val="none"/>
      <w:vertAlign w:val="superscript"/>
    </w:rPr>
  </w:style>
  <w:style w:type="character" w:customStyle="1" w:styleId="121">
    <w:name w:val="标题 2 Char"/>
    <w:link w:val="3"/>
    <w:qFormat/>
    <w:uiPriority w:val="0"/>
    <w:rPr>
      <w:rFonts w:ascii="Times New Roman" w:hAnsi="Times New Roman"/>
      <w:b/>
      <w:sz w:val="30"/>
      <w:szCs w:val="32"/>
    </w:rPr>
  </w:style>
  <w:style w:type="character" w:customStyle="1" w:styleId="122">
    <w:name w:val="纯文本 Char"/>
    <w:link w:val="22"/>
    <w:qFormat/>
    <w:uiPriority w:val="0"/>
    <w:rPr>
      <w:rFonts w:ascii="宋体" w:hAnsi="Courier New" w:eastAsia="宋体"/>
      <w:kern w:val="2"/>
      <w:sz w:val="28"/>
      <w:lang w:val="en-US" w:eastAsia="zh-CN" w:bidi="ar-SA"/>
    </w:rPr>
  </w:style>
  <w:style w:type="character" w:customStyle="1" w:styleId="123">
    <w:name w:val="正文缩进 Char"/>
    <w:link w:val="13"/>
    <w:qFormat/>
    <w:uiPriority w:val="0"/>
    <w:rPr>
      <w:kern w:val="2"/>
      <w:sz w:val="28"/>
    </w:rPr>
  </w:style>
  <w:style w:type="character" w:customStyle="1" w:styleId="124">
    <w:name w:val="正文文本 Char"/>
    <w:link w:val="18"/>
    <w:qFormat/>
    <w:uiPriority w:val="0"/>
    <w:rPr>
      <w:kern w:val="2"/>
      <w:sz w:val="24"/>
      <w:szCs w:val="24"/>
    </w:rPr>
  </w:style>
  <w:style w:type="character" w:customStyle="1" w:styleId="125">
    <w:name w:val="font31"/>
    <w:qFormat/>
    <w:uiPriority w:val="0"/>
    <w:rPr>
      <w:rFonts w:hint="default" w:ascii="Times New Roman" w:hAnsi="Times New Roman" w:cs="Times New Roman"/>
      <w:color w:val="000000"/>
      <w:sz w:val="21"/>
      <w:szCs w:val="21"/>
      <w:u w:val="none"/>
    </w:rPr>
  </w:style>
  <w:style w:type="character" w:customStyle="1" w:styleId="126">
    <w:name w:val="font61"/>
    <w:qFormat/>
    <w:uiPriority w:val="0"/>
    <w:rPr>
      <w:rFonts w:hint="default" w:ascii="Times New Roman" w:hAnsi="Times New Roman" w:cs="Times New Roman"/>
      <w:b/>
      <w:color w:val="000000"/>
      <w:sz w:val="21"/>
      <w:szCs w:val="21"/>
      <w:u w:val="none"/>
    </w:rPr>
  </w:style>
  <w:style w:type="character" w:customStyle="1" w:styleId="127">
    <w:name w:val="标题 1 Char"/>
    <w:link w:val="2"/>
    <w:qFormat/>
    <w:uiPriority w:val="9"/>
    <w:rPr>
      <w:rFonts w:ascii="Times New Roman" w:hAnsi="Times New Roman" w:eastAsia="宋体"/>
      <w:b/>
      <w:bCs/>
      <w:kern w:val="44"/>
      <w:sz w:val="32"/>
      <w:szCs w:val="44"/>
    </w:rPr>
  </w:style>
  <w:style w:type="character" w:customStyle="1" w:styleId="128">
    <w:name w:val="报告正文 Char"/>
    <w:link w:val="92"/>
    <w:qFormat/>
    <w:uiPriority w:val="0"/>
    <w:rPr>
      <w:snapToGrid/>
      <w:kern w:val="24"/>
      <w:sz w:val="24"/>
      <w:szCs w:val="21"/>
    </w:rPr>
  </w:style>
  <w:style w:type="character" w:customStyle="1" w:styleId="129">
    <w:name w:val="正文首行缩进 Char"/>
    <w:link w:val="39"/>
    <w:qFormat/>
    <w:uiPriority w:val="0"/>
    <w:rPr>
      <w:kern w:val="2"/>
      <w:sz w:val="28"/>
      <w:szCs w:val="24"/>
    </w:rPr>
  </w:style>
  <w:style w:type="character" w:customStyle="1" w:styleId="130">
    <w:name w:val="font41"/>
    <w:qFormat/>
    <w:uiPriority w:val="0"/>
    <w:rPr>
      <w:rFonts w:hint="eastAsia" w:ascii="宋体" w:hAnsi="宋体" w:eastAsia="宋体" w:cs="宋体"/>
      <w:b/>
      <w:color w:val="000000"/>
      <w:sz w:val="21"/>
      <w:szCs w:val="21"/>
      <w:u w:val="none"/>
    </w:rPr>
  </w:style>
  <w:style w:type="character" w:customStyle="1" w:styleId="131">
    <w:name w:val="font01"/>
    <w:qFormat/>
    <w:uiPriority w:val="0"/>
    <w:rPr>
      <w:rFonts w:hint="eastAsia" w:ascii="宋体" w:hAnsi="宋体" w:eastAsia="宋体" w:cs="宋体"/>
      <w:color w:val="000000"/>
      <w:sz w:val="18"/>
      <w:szCs w:val="18"/>
      <w:u w:val="none"/>
    </w:rPr>
  </w:style>
  <w:style w:type="character" w:customStyle="1" w:styleId="132">
    <w:name w:val="biaoti1"/>
    <w:qFormat/>
    <w:uiPriority w:val="0"/>
    <w:rPr>
      <w:b/>
      <w:bCs/>
      <w:color w:val="000099"/>
      <w:sz w:val="24"/>
      <w:szCs w:val="24"/>
    </w:rPr>
  </w:style>
  <w:style w:type="character" w:customStyle="1" w:styleId="133">
    <w:name w:val="font21"/>
    <w:qFormat/>
    <w:uiPriority w:val="0"/>
    <w:rPr>
      <w:rFonts w:hint="eastAsia" w:ascii="宋体" w:hAnsi="宋体" w:eastAsia="宋体" w:cs="宋体"/>
      <w:color w:val="000000"/>
      <w:sz w:val="9"/>
      <w:szCs w:val="9"/>
      <w:u w:val="none"/>
    </w:rPr>
  </w:style>
  <w:style w:type="character" w:customStyle="1" w:styleId="134">
    <w:name w:val="font51"/>
    <w:qFormat/>
    <w:uiPriority w:val="0"/>
    <w:rPr>
      <w:rFonts w:hint="default" w:ascii="Times New Roman" w:hAnsi="Times New Roman" w:cs="Times New Roman"/>
      <w:b/>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57.jpeg"/><Relationship Id="rId7" Type="http://schemas.openxmlformats.org/officeDocument/2006/relationships/header" Target="header3.xml"/><Relationship Id="rId69" Type="http://schemas.openxmlformats.org/officeDocument/2006/relationships/image" Target="media/image56.jpeg"/><Relationship Id="rId68" Type="http://schemas.openxmlformats.org/officeDocument/2006/relationships/image" Target="media/image55.jpeg"/><Relationship Id="rId67" Type="http://schemas.openxmlformats.org/officeDocument/2006/relationships/image" Target="media/image54.jpeg"/><Relationship Id="rId66" Type="http://schemas.openxmlformats.org/officeDocument/2006/relationships/image" Target="media/image53.jpeg"/><Relationship Id="rId65" Type="http://schemas.openxmlformats.org/officeDocument/2006/relationships/image" Target="media/image52.jpeg"/><Relationship Id="rId64" Type="http://schemas.openxmlformats.org/officeDocument/2006/relationships/image" Target="media/image51.jpeg"/><Relationship Id="rId63" Type="http://schemas.openxmlformats.org/officeDocument/2006/relationships/image" Target="media/image50.jpeg"/><Relationship Id="rId62" Type="http://schemas.openxmlformats.org/officeDocument/2006/relationships/image" Target="media/image49.jpeg"/><Relationship Id="rId61" Type="http://schemas.openxmlformats.org/officeDocument/2006/relationships/image" Target="media/image48.jpeg"/><Relationship Id="rId60" Type="http://schemas.openxmlformats.org/officeDocument/2006/relationships/image" Target="media/image47.png"/><Relationship Id="rId6" Type="http://schemas.openxmlformats.org/officeDocument/2006/relationships/header" Target="head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jpeg"/><Relationship Id="rId51" Type="http://schemas.openxmlformats.org/officeDocument/2006/relationships/image" Target="media/image38.jpeg"/><Relationship Id="rId50" Type="http://schemas.openxmlformats.org/officeDocument/2006/relationships/image" Target="media/image37.jpeg"/><Relationship Id="rId5" Type="http://schemas.openxmlformats.org/officeDocument/2006/relationships/header" Target="header1.xml"/><Relationship Id="rId49" Type="http://schemas.openxmlformats.org/officeDocument/2006/relationships/image" Target="media/image36.jpeg"/><Relationship Id="rId48" Type="http://schemas.openxmlformats.org/officeDocument/2006/relationships/image" Target="media/image35.jpe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DF8C08-8ECE-45AB-A5B7-27A75E6F1C6D}">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79</Pages>
  <Words>12027</Words>
  <Characters>13411</Characters>
  <Lines>100</Lines>
  <Paragraphs>65</Paragraphs>
  <TotalTime>3</TotalTime>
  <ScaleCrop>false</ScaleCrop>
  <LinksUpToDate>false</LinksUpToDate>
  <CharactersWithSpaces>13848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2017-11-14T05:25:00Z</dcterms:created>
  <dc:creator>yl</dc:creator>
  <cp:lastModifiedBy>簌绾青丝</cp:lastModifiedBy>
  <cp:lastPrinted>2017-10-30T03:00:00Z</cp:lastPrinted>
  <dcterms:modified xsi:type="dcterms:W3CDTF">2022-06-02T05:12:51Z</dcterms:modified>
  <dc:title>一、前言</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BC237F50F8AF4CF7A74978F19EA4CC1A</vt:lpwstr>
  </property>
</Properties>
</file>