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宋体" w:hAnsi="宋体"/>
          <w:b/>
          <w:bCs/>
          <w:sz w:val="32"/>
          <w:szCs w:val="32"/>
        </w:rPr>
        <w:t>江苏擎动新能源科技有限公司扩建膜电极生产项目竣工环境保护验收意见</w:t>
      </w:r>
    </w:p>
    <w:p>
      <w:pPr>
        <w:rPr>
          <w:rFonts w:hint="eastAsia"/>
        </w:rPr>
      </w:pPr>
      <w:r>
        <w:rPr>
          <w:rFonts w:hint="eastAsia"/>
        </w:rPr>
        <w:t xml:space="preserve">   </w:t>
      </w:r>
    </w:p>
    <w:p>
      <w:r>
        <w:rPr>
          <w:rFonts w:hint="eastAsia"/>
        </w:rPr>
        <w:t xml:space="preserve">   </w:t>
      </w:r>
    </w:p>
    <w:p>
      <w:pPr>
        <w:ind w:firstLine="480" w:firstLineChars="200"/>
        <w:rPr>
          <w:rFonts w:hint="eastAsia" w:ascii="宋体" w:hAnsi="宋体"/>
          <w:sz w:val="24"/>
          <w:szCs w:val="24"/>
        </w:rPr>
      </w:pPr>
      <w:r>
        <w:rPr>
          <w:rFonts w:hint="eastAsia" w:ascii="宋体" w:hAnsi="宋体"/>
          <w:sz w:val="24"/>
          <w:szCs w:val="24"/>
        </w:rPr>
        <w:t>根据《建设项目环境保护管理条例》(国务院令第682号)，</w:t>
      </w:r>
      <w:r>
        <w:rPr>
          <w:rFonts w:hint="eastAsia" w:ascii="宋体" w:hAnsi="宋体" w:cs="Times New Roman"/>
          <w:color w:val="000000"/>
          <w:sz w:val="24"/>
          <w:szCs w:val="24"/>
        </w:rPr>
        <w:t>江苏擎动新能源科技有限公司</w:t>
      </w:r>
      <w:r>
        <w:rPr>
          <w:rFonts w:hint="eastAsia" w:ascii="宋体" w:hAnsi="宋体"/>
          <w:sz w:val="24"/>
          <w:szCs w:val="24"/>
        </w:rPr>
        <w:t>于2022年7月28日组成验收工作组对“</w:t>
      </w:r>
      <w:r>
        <w:rPr>
          <w:rFonts w:hint="eastAsia" w:ascii="宋体" w:hAnsi="宋体" w:cs="Times New Roman"/>
          <w:color w:val="000000"/>
          <w:sz w:val="24"/>
          <w:szCs w:val="24"/>
        </w:rPr>
        <w:t>江苏擎动新能源科技有限公司扩建膜电极生产项目</w:t>
      </w:r>
      <w:r>
        <w:rPr>
          <w:rFonts w:hint="eastAsia" w:ascii="宋体" w:hAnsi="宋体"/>
          <w:sz w:val="24"/>
          <w:szCs w:val="24"/>
        </w:rPr>
        <w:t>” 竣工进行环境保护验收。验收工作组由建设单位(</w:t>
      </w:r>
      <w:r>
        <w:rPr>
          <w:rFonts w:hint="eastAsia" w:ascii="宋体" w:hAnsi="宋体" w:cs="Times New Roman"/>
          <w:color w:val="000000"/>
          <w:sz w:val="24"/>
          <w:szCs w:val="24"/>
        </w:rPr>
        <w:t>江苏擎动新能源科技有限公司</w:t>
      </w:r>
      <w:r>
        <w:rPr>
          <w:rFonts w:hint="eastAsia" w:ascii="宋体" w:hAnsi="宋体"/>
          <w:sz w:val="24"/>
          <w:szCs w:val="24"/>
        </w:rPr>
        <w:t>)相关人员、验收监测及报告编制单位(江苏康达检测技术股份有限公司)的代表和三位专业技术人员组成(验收工作组名单附后)。</w:t>
      </w:r>
    </w:p>
    <w:p>
      <w:r>
        <w:rPr>
          <w:rFonts w:hint="eastAsia" w:ascii="宋体" w:hAnsi="宋体"/>
          <w:sz w:val="24"/>
          <w:szCs w:val="24"/>
        </w:rPr>
        <w:t xml:space="preserve">   </w:t>
      </w:r>
    </w:p>
    <w:p>
      <w:pPr>
        <w:ind w:firstLine="480" w:firstLineChars="200"/>
      </w:pPr>
      <w:r>
        <w:rPr>
          <w:rFonts w:hint="eastAsia" w:ascii="宋体" w:hAnsi="宋体"/>
          <w:sz w:val="24"/>
          <w:szCs w:val="24"/>
        </w:rPr>
        <w:t>验收工作组根据《建设项目竣工环境保护验收暂行办法》(国环规环评[2017]4号)，严格依照国家有关法律法规、建设项目竣工环境保护验收技术规范、项目环境影响评价报告书和审批部门审批决定等要求，审阅了江苏康达检测技术股份有限公司编制的《</w:t>
      </w:r>
      <w:r>
        <w:rPr>
          <w:rFonts w:hint="eastAsia" w:ascii="宋体" w:hAnsi="宋体" w:cs="Times New Roman"/>
          <w:color w:val="000000"/>
          <w:sz w:val="24"/>
          <w:szCs w:val="24"/>
        </w:rPr>
        <w:t>江苏擎动新能源科技有限公司扩建膜电极生产项目</w:t>
      </w:r>
      <w:r>
        <w:rPr>
          <w:rFonts w:hint="eastAsia" w:ascii="宋体" w:hAnsi="宋体"/>
          <w:sz w:val="24"/>
          <w:szCs w:val="24"/>
        </w:rPr>
        <w:t>竣工环境保护验收监测报告表》KDDC（2022）第232号，与会代表通过现场检查、资料查阅、质询评议，经认真讨论，提出验收意见如下：</w:t>
      </w:r>
    </w:p>
    <w:p>
      <w:pPr>
        <w:rPr>
          <w:rFonts w:hint="eastAsia"/>
        </w:rPr>
      </w:pPr>
    </w:p>
    <w:p>
      <w:pPr>
        <w:pStyle w:val="7"/>
        <w:numPr>
          <w:ilvl w:val="0"/>
          <w:numId w:val="2"/>
        </w:numPr>
        <w:ind w:firstLineChars="0"/>
        <w:rPr>
          <w:rFonts w:ascii="宋体" w:hAnsi="宋体"/>
          <w:b/>
          <w:bCs/>
          <w:sz w:val="24"/>
          <w:szCs w:val="24"/>
        </w:rPr>
      </w:pPr>
      <w:r>
        <w:rPr>
          <w:rFonts w:hint="eastAsia"/>
        </w:rPr>
        <w:t xml:space="preserve">   </w:t>
      </w:r>
      <w:r>
        <w:rPr>
          <w:rFonts w:hint="eastAsia" w:ascii="宋体" w:hAnsi="宋体"/>
          <w:b/>
          <w:bCs/>
          <w:sz w:val="24"/>
          <w:szCs w:val="24"/>
        </w:rPr>
        <w:t>工程建设基本情况</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(一)建设地点、规模、主要建设内容</w:t>
      </w:r>
    </w:p>
    <w:p>
      <w:pPr>
        <w:ind w:firstLine="480" w:firstLineChars="200"/>
        <w:rPr>
          <w:rFonts w:hint="eastAsia" w:ascii="宋体" w:hAnsi="宋体"/>
          <w:sz w:val="24"/>
          <w:szCs w:val="24"/>
        </w:rPr>
      </w:pPr>
      <w:r>
        <w:rPr>
          <w:rFonts w:hint="eastAsia" w:ascii="宋体" w:hAnsi="宋体"/>
          <w:sz w:val="24"/>
          <w:szCs w:val="24"/>
        </w:rPr>
        <w:t>建设地点：常熟市东南大道1150号嘉地产业园D-2幢标准工业厂房，建筑面积约为5089.2m2。</w:t>
      </w:r>
    </w:p>
    <w:p>
      <w:pPr>
        <w:ind w:firstLine="480" w:firstLineChars="200"/>
        <w:rPr>
          <w:rFonts w:hint="eastAsia" w:ascii="宋体" w:hAnsi="宋体"/>
          <w:sz w:val="24"/>
          <w:szCs w:val="24"/>
        </w:rPr>
      </w:pPr>
    </w:p>
    <w:p>
      <w:pPr>
        <w:ind w:firstLine="480" w:firstLineChars="200"/>
        <w:rPr>
          <w:rFonts w:hint="eastAsia" w:ascii="宋体" w:hAnsi="宋体"/>
          <w:sz w:val="24"/>
          <w:szCs w:val="24"/>
        </w:rPr>
      </w:pPr>
      <w:r>
        <w:rPr>
          <w:rFonts w:hint="eastAsia" w:ascii="宋体" w:hAnsi="宋体"/>
          <w:sz w:val="24"/>
          <w:szCs w:val="24"/>
        </w:rPr>
        <w:t xml:space="preserve">  项目性质：扩建</w:t>
      </w:r>
    </w:p>
    <w:p>
      <w:pPr>
        <w:ind w:firstLine="480" w:firstLineChars="200"/>
        <w:rPr>
          <w:rFonts w:hint="eastAsia" w:ascii="宋体" w:hAnsi="宋体"/>
          <w:sz w:val="24"/>
          <w:szCs w:val="24"/>
          <w:lang w:val="en-US" w:eastAsia="zh-CN"/>
        </w:rPr>
      </w:pPr>
      <w:r>
        <w:rPr>
          <w:rFonts w:hint="eastAsia" w:ascii="宋体" w:hAnsi="宋体"/>
          <w:sz w:val="24"/>
          <w:szCs w:val="24"/>
          <w:lang w:val="en-US" w:eastAsia="zh-CN"/>
        </w:rPr>
        <w:t xml:space="preserve">  主要建设内容与建设规模：年增产膜电极约100万片。</w:t>
      </w:r>
    </w:p>
    <w:p>
      <w:pPr>
        <w:ind w:firstLine="480" w:firstLineChars="200"/>
        <w:rPr>
          <w:rFonts w:hint="eastAsia"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本项目</w:t>
      </w:r>
      <w:r>
        <w:rPr>
          <w:rFonts w:hint="eastAsia" w:ascii="宋体" w:hAnsi="宋体"/>
          <w:sz w:val="24"/>
          <w:szCs w:val="24"/>
          <w:lang w:val="en-US" w:eastAsia="zh-CN"/>
        </w:rPr>
        <w:t>新增工作人员40人，实行两班制，每班12小时，年工作250天，全年工作6000小时</w:t>
      </w:r>
      <w:r>
        <w:rPr>
          <w:rFonts w:hint="eastAsia" w:ascii="宋体" w:hAnsi="宋体"/>
          <w:sz w:val="24"/>
          <w:szCs w:val="24"/>
        </w:rPr>
        <w:t>。</w:t>
      </w:r>
    </w:p>
    <w:p>
      <w:pPr>
        <w:pStyle w:val="3"/>
        <w:numPr>
          <w:ilvl w:val="0"/>
          <w:numId w:val="3"/>
        </w:numPr>
        <w:adjustRightInd w:val="0"/>
        <w:snapToGrid w:val="0"/>
        <w:spacing w:before="51" w:beforeAutospacing="0" w:line="360" w:lineRule="auto"/>
        <w:ind w:firstLine="360" w:firstLineChars="150"/>
        <w:jc w:val="both"/>
      </w:pPr>
      <w:r>
        <w:rPr>
          <w:sz w:val="24"/>
          <w:szCs w:val="24"/>
        </w:rPr>
        <w:t>建设过程及环保审批情况</w:t>
      </w:r>
    </w:p>
    <w:p>
      <w:pPr>
        <w:pStyle w:val="4"/>
        <w:numPr>
          <w:ilvl w:val="0"/>
          <w:numId w:val="0"/>
        </w:numPr>
        <w:rPr>
          <w:rFonts w:hint="default" w:eastAsia="宋体"/>
          <w:lang w:val="en-US" w:eastAsia="zh-CN"/>
        </w:rPr>
      </w:pPr>
      <w:r>
        <w:rPr>
          <w:rFonts w:hint="eastAsia"/>
          <w:sz w:val="24"/>
          <w:szCs w:val="24"/>
          <w:lang w:val="en-US" w:eastAsia="zh-CN"/>
        </w:rPr>
        <w:t xml:space="preserve">  </w:t>
      </w:r>
    </w:p>
    <w:p>
      <w:pPr>
        <w:pStyle w:val="4"/>
        <w:numPr>
          <w:ilvl w:val="0"/>
          <w:numId w:val="0"/>
        </w:numPr>
        <w:rPr>
          <w:rFonts w:hint="default" w:ascii="宋体" w:hAnsi="宋体" w:eastAsia="宋体" w:cs="Times New Roman"/>
          <w:color w:val="000000"/>
          <w:kern w:val="2"/>
          <w:sz w:val="24"/>
          <w:szCs w:val="24"/>
          <w:lang w:val="en-US" w:eastAsia="zh-CN" w:bidi="ar-SA"/>
        </w:rPr>
      </w:pPr>
      <w:r>
        <w:rPr>
          <w:rFonts w:hint="eastAsia"/>
          <w:sz w:val="24"/>
          <w:szCs w:val="24"/>
          <w:lang w:val="en-US" w:eastAsia="zh-CN"/>
        </w:rPr>
        <w:t xml:space="preserve">  </w:t>
      </w:r>
      <w:r>
        <w:rPr>
          <w:rFonts w:hint="default" w:ascii="宋体" w:hAnsi="宋体" w:eastAsia="宋体" w:cs="Times New Roman"/>
          <w:color w:val="000000"/>
          <w:kern w:val="2"/>
          <w:sz w:val="24"/>
          <w:szCs w:val="24"/>
          <w:lang w:val="en-US" w:eastAsia="zh-CN" w:bidi="ar-SA"/>
        </w:rPr>
        <w:t>本项目</w:t>
      </w:r>
      <w:r>
        <w:rPr>
          <w:rFonts w:hint="eastAsia" w:ascii="宋体" w:hAnsi="宋体" w:eastAsia="宋体" w:cs="Times New Roman"/>
          <w:color w:val="000000"/>
          <w:kern w:val="2"/>
          <w:sz w:val="24"/>
          <w:szCs w:val="24"/>
          <w:lang w:val="en-US" w:eastAsia="zh-CN" w:bidi="ar-SA"/>
        </w:rPr>
        <w:t>于</w:t>
      </w:r>
      <w:r>
        <w:rPr>
          <w:rFonts w:hint="default" w:ascii="宋体" w:hAnsi="宋体" w:eastAsia="宋体" w:cs="Times New Roman"/>
          <w:color w:val="000000"/>
          <w:kern w:val="2"/>
          <w:sz w:val="24"/>
          <w:szCs w:val="24"/>
          <w:lang w:val="en-US" w:eastAsia="zh-CN" w:bidi="ar-SA"/>
        </w:rPr>
        <w:t>20</w:t>
      </w:r>
      <w:r>
        <w:rPr>
          <w:rFonts w:hint="eastAsia" w:ascii="宋体" w:hAnsi="宋体" w:eastAsia="宋体" w:cs="Times New Roman"/>
          <w:color w:val="000000"/>
          <w:kern w:val="2"/>
          <w:sz w:val="24"/>
          <w:szCs w:val="24"/>
          <w:lang w:val="en-US" w:eastAsia="zh-CN" w:bidi="ar-SA"/>
        </w:rPr>
        <w:t>21</w:t>
      </w:r>
      <w:r>
        <w:rPr>
          <w:rFonts w:hint="default" w:ascii="宋体" w:hAnsi="宋体" w:eastAsia="宋体" w:cs="Times New Roman"/>
          <w:color w:val="000000"/>
          <w:kern w:val="2"/>
          <w:sz w:val="24"/>
          <w:szCs w:val="24"/>
          <w:lang w:val="en-US" w:eastAsia="zh-CN" w:bidi="ar-SA"/>
        </w:rPr>
        <w:t>年</w:t>
      </w:r>
      <w:r>
        <w:rPr>
          <w:rFonts w:hint="eastAsia" w:ascii="宋体" w:hAnsi="宋体" w:eastAsia="宋体" w:cs="Times New Roman"/>
          <w:color w:val="000000"/>
          <w:kern w:val="2"/>
          <w:sz w:val="24"/>
          <w:szCs w:val="24"/>
          <w:lang w:val="en-US" w:eastAsia="zh-CN" w:bidi="ar-SA"/>
        </w:rPr>
        <w:t>8</w:t>
      </w:r>
      <w:r>
        <w:rPr>
          <w:rFonts w:hint="default" w:ascii="宋体" w:hAnsi="宋体" w:eastAsia="宋体" w:cs="Times New Roman"/>
          <w:color w:val="000000"/>
          <w:kern w:val="2"/>
          <w:sz w:val="24"/>
          <w:szCs w:val="24"/>
          <w:lang w:val="en-US" w:eastAsia="zh-CN" w:bidi="ar-SA"/>
        </w:rPr>
        <w:t>月</w:t>
      </w:r>
      <w:r>
        <w:rPr>
          <w:rFonts w:hint="eastAsia" w:ascii="宋体" w:hAnsi="宋体" w:eastAsia="宋体" w:cs="Times New Roman"/>
          <w:color w:val="000000"/>
          <w:kern w:val="2"/>
          <w:sz w:val="24"/>
          <w:szCs w:val="24"/>
          <w:lang w:val="en-US" w:eastAsia="zh-CN" w:bidi="ar-SA"/>
        </w:rPr>
        <w:t>由江苏擎动新能源科技有限公司</w:t>
      </w:r>
      <w:r>
        <w:rPr>
          <w:rFonts w:hint="default" w:ascii="宋体" w:hAnsi="宋体" w:eastAsia="宋体" w:cs="Times New Roman"/>
          <w:color w:val="000000"/>
          <w:kern w:val="2"/>
          <w:sz w:val="24"/>
          <w:szCs w:val="24"/>
          <w:lang w:val="en-US" w:eastAsia="zh-CN" w:bidi="ar-SA"/>
        </w:rPr>
        <w:t>委托</w:t>
      </w:r>
      <w:r>
        <w:rPr>
          <w:rFonts w:hint="eastAsia" w:ascii="宋体" w:hAnsi="宋体" w:eastAsia="宋体" w:cs="Times New Roman"/>
          <w:color w:val="000000"/>
          <w:kern w:val="2"/>
          <w:sz w:val="24"/>
          <w:szCs w:val="24"/>
          <w:lang w:val="en-US" w:eastAsia="zh-CN" w:bidi="ar-SA"/>
        </w:rPr>
        <w:t>江苏中瑞咨询有限公司</w:t>
      </w:r>
      <w:r>
        <w:rPr>
          <w:rFonts w:hint="default" w:ascii="宋体" w:hAnsi="宋体" w:eastAsia="宋体" w:cs="Times New Roman"/>
          <w:color w:val="000000"/>
          <w:kern w:val="2"/>
          <w:sz w:val="24"/>
          <w:szCs w:val="24"/>
          <w:lang w:val="en-US" w:eastAsia="zh-CN" w:bidi="ar-SA"/>
        </w:rPr>
        <w:t>编制完成《</w:t>
      </w:r>
      <w:r>
        <w:rPr>
          <w:rFonts w:hint="eastAsia" w:ascii="宋体" w:hAnsi="宋体" w:eastAsia="宋体" w:cs="Times New Roman"/>
          <w:color w:val="000000"/>
          <w:kern w:val="2"/>
          <w:sz w:val="24"/>
          <w:szCs w:val="24"/>
          <w:lang w:val="en-US" w:eastAsia="zh-CN" w:bidi="ar-SA"/>
        </w:rPr>
        <w:t>江苏擎动新能源科技有限公司扩建膜电极生产项目</w:t>
      </w:r>
      <w:r>
        <w:rPr>
          <w:rFonts w:hint="default" w:ascii="宋体" w:hAnsi="宋体" w:eastAsia="宋体" w:cs="Times New Roman"/>
          <w:color w:val="000000"/>
          <w:kern w:val="2"/>
          <w:sz w:val="24"/>
          <w:szCs w:val="24"/>
          <w:lang w:val="en-US" w:eastAsia="zh-CN" w:bidi="ar-SA"/>
        </w:rPr>
        <w:t>环境影响报告表》；于20</w:t>
      </w:r>
      <w:r>
        <w:rPr>
          <w:rFonts w:hint="eastAsia" w:ascii="宋体" w:hAnsi="宋体" w:eastAsia="宋体" w:cs="Times New Roman"/>
          <w:color w:val="000000"/>
          <w:kern w:val="2"/>
          <w:sz w:val="24"/>
          <w:szCs w:val="24"/>
          <w:lang w:val="en-US" w:eastAsia="zh-CN" w:bidi="ar-SA"/>
        </w:rPr>
        <w:t>21</w:t>
      </w:r>
      <w:r>
        <w:rPr>
          <w:rFonts w:hint="default" w:ascii="宋体" w:hAnsi="宋体" w:eastAsia="宋体" w:cs="Times New Roman"/>
          <w:color w:val="000000"/>
          <w:kern w:val="2"/>
          <w:sz w:val="24"/>
          <w:szCs w:val="24"/>
          <w:lang w:val="en-US" w:eastAsia="zh-CN" w:bidi="ar-SA"/>
        </w:rPr>
        <w:t>年</w:t>
      </w:r>
      <w:r>
        <w:rPr>
          <w:rFonts w:hint="eastAsia" w:ascii="宋体" w:hAnsi="宋体" w:eastAsia="宋体" w:cs="Times New Roman"/>
          <w:color w:val="000000"/>
          <w:kern w:val="2"/>
          <w:sz w:val="24"/>
          <w:szCs w:val="24"/>
          <w:lang w:val="en-US" w:eastAsia="zh-CN" w:bidi="ar-SA"/>
        </w:rPr>
        <w:t>9</w:t>
      </w:r>
      <w:r>
        <w:rPr>
          <w:rFonts w:hint="default" w:ascii="宋体" w:hAnsi="宋体" w:eastAsia="宋体" w:cs="Times New Roman"/>
          <w:color w:val="000000"/>
          <w:kern w:val="2"/>
          <w:sz w:val="24"/>
          <w:szCs w:val="24"/>
          <w:lang w:val="en-US" w:eastAsia="zh-CN" w:bidi="ar-SA"/>
        </w:rPr>
        <w:t>月</w:t>
      </w:r>
      <w:r>
        <w:rPr>
          <w:rFonts w:hint="eastAsia" w:ascii="宋体" w:hAnsi="宋体" w:eastAsia="宋体" w:cs="Times New Roman"/>
          <w:color w:val="000000"/>
          <w:kern w:val="2"/>
          <w:sz w:val="24"/>
          <w:szCs w:val="24"/>
          <w:lang w:val="en-US" w:eastAsia="zh-CN" w:bidi="ar-SA"/>
        </w:rPr>
        <w:t>29</w:t>
      </w:r>
      <w:r>
        <w:rPr>
          <w:rFonts w:hint="default" w:ascii="宋体" w:hAnsi="宋体" w:eastAsia="宋体" w:cs="Times New Roman"/>
          <w:color w:val="000000"/>
          <w:kern w:val="2"/>
          <w:sz w:val="24"/>
          <w:szCs w:val="24"/>
          <w:lang w:val="en-US" w:eastAsia="zh-CN" w:bidi="ar-SA"/>
        </w:rPr>
        <w:t>日取得</w:t>
      </w:r>
      <w:r>
        <w:rPr>
          <w:rFonts w:hint="eastAsia" w:ascii="宋体" w:hAnsi="宋体" w:eastAsia="宋体" w:cs="Times New Roman"/>
          <w:color w:val="000000"/>
          <w:kern w:val="2"/>
          <w:sz w:val="24"/>
          <w:szCs w:val="24"/>
          <w:lang w:val="en-US" w:eastAsia="zh-CN" w:bidi="ar-SA"/>
        </w:rPr>
        <w:t>苏州市生态环境局</w:t>
      </w:r>
      <w:r>
        <w:rPr>
          <w:rFonts w:hint="default" w:ascii="宋体" w:hAnsi="宋体" w:eastAsia="宋体" w:cs="Times New Roman"/>
          <w:color w:val="000000"/>
          <w:kern w:val="2"/>
          <w:sz w:val="24"/>
          <w:szCs w:val="24"/>
          <w:lang w:val="en-US" w:eastAsia="zh-CN" w:bidi="ar-SA"/>
        </w:rPr>
        <w:t>文件《</w:t>
      </w:r>
      <w:r>
        <w:rPr>
          <w:rFonts w:hint="eastAsia" w:ascii="宋体" w:hAnsi="宋体" w:eastAsia="宋体" w:cs="Times New Roman"/>
          <w:color w:val="000000"/>
          <w:kern w:val="2"/>
          <w:sz w:val="24"/>
          <w:szCs w:val="24"/>
          <w:lang w:val="en-US" w:eastAsia="zh-CN" w:bidi="ar-SA"/>
        </w:rPr>
        <w:t>建设项目环保审批意见</w:t>
      </w:r>
      <w:r>
        <w:rPr>
          <w:rFonts w:hint="default" w:ascii="宋体" w:hAnsi="宋体" w:eastAsia="宋体" w:cs="Times New Roman"/>
          <w:color w:val="000000"/>
          <w:kern w:val="2"/>
          <w:sz w:val="24"/>
          <w:szCs w:val="24"/>
          <w:lang w:val="en-US" w:eastAsia="zh-CN" w:bidi="ar-SA"/>
        </w:rPr>
        <w:t>》（</w:t>
      </w:r>
      <w:r>
        <w:rPr>
          <w:rFonts w:hint="eastAsia" w:ascii="宋体" w:hAnsi="宋体" w:eastAsia="宋体" w:cs="Times New Roman"/>
          <w:color w:val="000000"/>
          <w:kern w:val="2"/>
          <w:sz w:val="24"/>
          <w:szCs w:val="24"/>
          <w:lang w:val="en-US" w:eastAsia="zh-CN" w:bidi="ar-SA"/>
        </w:rPr>
        <w:t>苏环建[2021]81第0086号</w:t>
      </w:r>
      <w:r>
        <w:rPr>
          <w:rFonts w:hint="default" w:ascii="宋体" w:hAnsi="宋体" w:eastAsia="宋体" w:cs="Times New Roman"/>
          <w:color w:val="000000"/>
          <w:kern w:val="2"/>
          <w:sz w:val="24"/>
          <w:szCs w:val="24"/>
          <w:lang w:val="en-US" w:eastAsia="zh-CN" w:bidi="ar-SA"/>
        </w:rPr>
        <w:t>）。</w:t>
      </w:r>
    </w:p>
    <w:p>
      <w:pPr>
        <w:pStyle w:val="4"/>
        <w:numPr>
          <w:ilvl w:val="0"/>
          <w:numId w:val="0"/>
        </w:numPr>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 xml:space="preserve">  </w:t>
      </w:r>
    </w:p>
    <w:p>
      <w:pPr>
        <w:ind w:firstLine="480" w:firstLineChars="2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项目于2021年9月份开工建设，于2021年11月份竣工,2021年11月项目开始调试。2022年4月27日、2022年4月28日江苏康达检测技术股份有限公司对江苏擎动新能源科技有限公司扩建膜电极生产项目进行验收监测，2022年7月完成验收监测报告表的编制（报告编号KDDC（2022）第232号）。</w:t>
      </w:r>
    </w:p>
    <w:p>
      <w:pPr>
        <w:adjustRightInd w:val="0"/>
        <w:snapToGrid w:val="0"/>
        <w:spacing w:line="360" w:lineRule="auto"/>
        <w:ind w:firstLine="480" w:firstLineChars="2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 xml:space="preserve">  项目自开始建设、调试过程中无环境投诉、违法或处罚记录。</w:t>
      </w:r>
    </w:p>
    <w:p>
      <w:pPr>
        <w:pStyle w:val="2"/>
        <w:rPr>
          <w:rFonts w:hint="default"/>
          <w:lang w:val="en-US" w:eastAsia="zh-CN"/>
        </w:rPr>
      </w:pPr>
    </w:p>
    <w:p>
      <w:pPr>
        <w:pStyle w:val="3"/>
        <w:adjustRightInd w:val="0"/>
        <w:snapToGrid w:val="0"/>
        <w:spacing w:before="30" w:beforeAutospacing="0" w:line="360" w:lineRule="auto"/>
        <w:ind w:firstLine="360" w:firstLineChars="15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(三)投资情况</w:t>
      </w:r>
    </w:p>
    <w:p>
      <w:pPr>
        <w:rPr>
          <w:rFonts w:hint="default"/>
          <w:lang w:val="en-US" w:eastAsia="zh-CN"/>
        </w:rPr>
      </w:pPr>
      <w:r>
        <w:rPr>
          <w:rFonts w:hint="eastAsia" w:ascii="宋体" w:hAnsi="宋体" w:eastAsia="宋体" w:cs="Times New Roman"/>
          <w:kern w:val="0"/>
          <w:sz w:val="24"/>
          <w:szCs w:val="24"/>
          <w:lang w:val="en-US" w:eastAsia="zh-CN" w:bidi="ar-SA"/>
        </w:rPr>
        <w:t>项目实际总投资为4900万元，其中环保投资30万，占总投资的0.6%。</w:t>
      </w:r>
    </w:p>
    <w:p>
      <w:pPr>
        <w:pStyle w:val="2"/>
        <w:rPr>
          <w:rFonts w:hint="default"/>
          <w:lang w:val="en-US" w:eastAsia="zh-CN"/>
        </w:rPr>
      </w:pPr>
    </w:p>
    <w:p>
      <w:pPr>
        <w:pStyle w:val="3"/>
        <w:adjustRightInd w:val="0"/>
        <w:snapToGrid w:val="0"/>
        <w:spacing w:line="360" w:lineRule="auto"/>
        <w:ind w:left="0" w:firstLine="360" w:firstLineChars="150"/>
        <w:jc w:val="both"/>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(四)验收范围</w:t>
      </w:r>
    </w:p>
    <w:p>
      <w:pPr>
        <w:pStyle w:val="4"/>
        <w:numPr>
          <w:ilvl w:val="0"/>
          <w:numId w:val="0"/>
        </w:numPr>
        <w:ind w:firstLine="480" w:firstLineChars="2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江苏擎动新能源科技有限公司扩建膜电极年产产膜电极100万片生产项目，及其污染防治设施，主要设备详见验收监测报告表。</w:t>
      </w:r>
    </w:p>
    <w:p>
      <w:pPr>
        <w:pStyle w:val="4"/>
        <w:numPr>
          <w:ilvl w:val="0"/>
          <w:numId w:val="0"/>
        </w:numPr>
        <w:ind w:firstLine="480" w:firstLineChars="200"/>
        <w:rPr>
          <w:rFonts w:hint="eastAsia" w:ascii="Times New Roman" w:hAnsi="Times New Roman" w:eastAsia="宋体" w:cs="Times New Roman"/>
          <w:color w:val="000000"/>
          <w:kern w:val="2"/>
          <w:sz w:val="24"/>
          <w:szCs w:val="24"/>
          <w:lang w:val="en-US" w:eastAsia="zh-CN" w:bidi="ar-SA"/>
        </w:rPr>
      </w:pPr>
    </w:p>
    <w:p>
      <w:pPr>
        <w:pStyle w:val="4"/>
        <w:numPr>
          <w:ilvl w:val="0"/>
          <w:numId w:val="2"/>
        </w:numPr>
        <w:ind w:left="510" w:leftChars="0" w:hanging="510" w:firstLineChars="0"/>
        <w:rPr>
          <w:rFonts w:ascii="宋体" w:hAnsi="宋体"/>
          <w:b/>
          <w:bCs/>
          <w:sz w:val="24"/>
          <w:szCs w:val="24"/>
        </w:rPr>
      </w:pPr>
      <w:r>
        <w:rPr>
          <w:rFonts w:ascii="宋体" w:hAnsi="宋体"/>
          <w:b/>
          <w:bCs/>
          <w:sz w:val="24"/>
          <w:szCs w:val="24"/>
        </w:rPr>
        <w:t>工程变动情况</w:t>
      </w:r>
    </w:p>
    <w:p>
      <w:pPr>
        <w:pStyle w:val="3"/>
        <w:ind w:firstLine="480" w:firstLineChars="2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 xml:space="preserve">  ①裁断机减少1台；②边框贴合设备减少3台；③激光打码设备减少2台。以上设备量的变化是由于企业优化生产工艺，不影响产能及产排污。</w:t>
      </w:r>
    </w:p>
    <w:p>
      <w:pPr>
        <w:spacing w:line="360" w:lineRule="auto"/>
        <w:ind w:firstLine="480" w:firstLineChars="2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 xml:space="preserve">  根据验收监测报告表项目变动情况章节结论，根据《关于印发污染影响类建设项目重大变动清单（试行）的通知》（环办环评函〔2020〕688号）及《关于加强建设重大变动环评管理的通知》（苏环办〔2015〕256号），本项目以上变动不属于重大变动。</w:t>
      </w:r>
    </w:p>
    <w:p>
      <w:r>
        <w:rPr>
          <w:rFonts w:ascii="宋体" w:hAnsi="宋体"/>
          <w:b/>
          <w:bCs/>
          <w:spacing w:val="-1"/>
          <w:sz w:val="24"/>
          <w:szCs w:val="24"/>
        </w:rPr>
        <w:t>三、环境保护设施建设情况</w:t>
      </w:r>
    </w:p>
    <w:p>
      <w:pPr>
        <w:pStyle w:val="4"/>
        <w:numPr>
          <w:ilvl w:val="0"/>
          <w:numId w:val="0"/>
        </w:numPr>
        <w:rPr>
          <w:rFonts w:hint="eastAsia" w:ascii="Times New Roman" w:hAnsi="Times New Roman"/>
          <w:sz w:val="24"/>
          <w:szCs w:val="24"/>
        </w:rPr>
      </w:pPr>
    </w:p>
    <w:p>
      <w:pPr>
        <w:spacing w:line="360" w:lineRule="auto"/>
        <w:ind w:firstLine="480" w:firstLineChars="2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 xml:space="preserve">  (一)废水</w:t>
      </w:r>
    </w:p>
    <w:p>
      <w:pPr>
        <w:spacing w:line="360" w:lineRule="auto"/>
        <w:ind w:firstLine="480" w:firstLineChars="2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本项目产生的废水主要为职工生活污水，该生活污水直接接管至凯发新泉水务（常熟）有限公司。</w:t>
      </w:r>
    </w:p>
    <w:p>
      <w:pPr>
        <w:spacing w:line="360" w:lineRule="auto"/>
        <w:ind w:firstLine="480" w:firstLineChars="2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 xml:space="preserve"> (二)废气</w:t>
      </w:r>
    </w:p>
    <w:p>
      <w:pPr>
        <w:spacing w:line="360" w:lineRule="auto"/>
        <w:ind w:firstLine="480" w:firstLineChars="2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本项目在点胶过程中，需使用水溶胶和胶粘剂进行贴合，会产生有机废气（以非甲烷总烃计）。由于胶盘在机器设备里面，所以无法加装收集设施，且本项目有机废气产生量较小，故将这部分废气作为无组织排放。</w:t>
      </w:r>
    </w:p>
    <w:p>
      <w:pPr>
        <w:spacing w:line="360" w:lineRule="auto"/>
        <w:ind w:firstLine="480" w:firstLineChars="2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(三)噪声</w:t>
      </w:r>
    </w:p>
    <w:p>
      <w:pPr>
        <w:spacing w:line="360" w:lineRule="auto"/>
        <w:ind w:firstLine="480" w:firstLineChars="2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 xml:space="preserve">   本项目噪声源主要为裁切机、全自动模切机、空压机等设备运行时产生的噪声。建设单位通过经减振、隔声和距离衰减等综合措施来降低噪声对周围环境的影响。</w:t>
      </w:r>
    </w:p>
    <w:p>
      <w:pPr>
        <w:spacing w:line="360" w:lineRule="auto"/>
        <w:ind w:firstLine="480" w:firstLineChars="200"/>
        <w:rPr>
          <w:rFonts w:hint="default" w:ascii="宋体" w:hAnsi="宋体" w:eastAsia="宋体" w:cs="Times New Roman"/>
          <w:color w:val="000000"/>
          <w:kern w:val="2"/>
          <w:sz w:val="24"/>
          <w:szCs w:val="24"/>
          <w:lang w:val="en-US" w:eastAsia="zh-CN" w:bidi="ar-SA"/>
        </w:rPr>
      </w:pPr>
    </w:p>
    <w:p>
      <w:pPr>
        <w:spacing w:line="360" w:lineRule="auto"/>
        <w:ind w:firstLine="480" w:firstLineChars="200"/>
        <w:rPr>
          <w:rFonts w:hint="default" w:ascii="宋体" w:hAnsi="宋体" w:eastAsia="宋体" w:cs="Times New Roman"/>
          <w:color w:val="000000"/>
          <w:kern w:val="2"/>
          <w:sz w:val="24"/>
          <w:szCs w:val="24"/>
          <w:lang w:val="en-US" w:eastAsia="zh-CN" w:bidi="ar-SA"/>
        </w:rPr>
      </w:pPr>
    </w:p>
    <w:p>
      <w:pPr>
        <w:spacing w:line="360" w:lineRule="auto"/>
        <w:ind w:firstLine="480" w:firstLineChars="2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 xml:space="preserve">(四)固体废弃物 </w:t>
      </w:r>
    </w:p>
    <w:p>
      <w:pPr>
        <w:spacing w:line="360" w:lineRule="auto"/>
        <w:ind w:firstLine="480" w:firstLineChars="200"/>
        <w:rPr>
          <w:rFonts w:hint="eastAsia" w:ascii="Times New Roman" w:hAnsi="Times New Roman" w:eastAsia="宋体"/>
          <w:color w:val="000000"/>
          <w:sz w:val="24"/>
          <w:lang w:val="en-US" w:eastAsia="zh-CN"/>
        </w:rPr>
      </w:pPr>
      <w:r>
        <w:rPr>
          <w:rFonts w:hint="eastAsia" w:ascii="宋体" w:hAnsi="宋体" w:eastAsia="宋体" w:cs="Times New Roman"/>
          <w:color w:val="000000"/>
          <w:kern w:val="2"/>
          <w:sz w:val="24"/>
          <w:szCs w:val="24"/>
          <w:lang w:val="en-US" w:eastAsia="zh-CN" w:bidi="ar-SA"/>
        </w:rPr>
        <w:t>本项目产生固废主要为生产过程中产生的边角料、不合格品为一般固废</w:t>
      </w:r>
      <w:r>
        <w:rPr>
          <w:rFonts w:hint="eastAsia" w:ascii="Times New Roman" w:hAnsi="Times New Roman" w:eastAsia="宋体"/>
          <w:color w:val="000000"/>
          <w:sz w:val="24"/>
          <w:lang w:eastAsia="zh-CN"/>
        </w:rPr>
        <w:t>，</w:t>
      </w:r>
      <w:r>
        <w:rPr>
          <w:rFonts w:hint="eastAsia" w:ascii="Times New Roman" w:hAnsi="Times New Roman" w:eastAsia="宋体"/>
          <w:color w:val="000000"/>
          <w:highlight w:val="none"/>
          <w:lang w:val="en-US" w:eastAsia="zh-CN"/>
        </w:rPr>
        <w:t>委托</w:t>
      </w:r>
      <w:r>
        <w:rPr>
          <w:rFonts w:hint="eastAsia" w:ascii="Times New Roman" w:hAnsi="Times New Roman"/>
          <w:color w:val="000000"/>
          <w:highlight w:val="none"/>
          <w:lang w:val="en-US" w:eastAsia="zh-CN"/>
        </w:rPr>
        <w:t>苏州诺易新环保科技有限公司处置</w:t>
      </w:r>
      <w:r>
        <w:rPr>
          <w:rFonts w:hint="eastAsia" w:ascii="Times New Roman" w:hAnsi="Times New Roman" w:eastAsia="宋体"/>
          <w:color w:val="000000"/>
          <w:highlight w:val="none"/>
          <w:lang w:val="en-US" w:eastAsia="zh-CN"/>
        </w:rPr>
        <w:t>；</w:t>
      </w:r>
      <w:r>
        <w:rPr>
          <w:rFonts w:hint="eastAsia" w:ascii="Times New Roman" w:hAnsi="Times New Roman" w:eastAsia="宋体"/>
          <w:color w:val="000000"/>
          <w:sz w:val="24"/>
          <w:lang w:val="en-US" w:eastAsia="zh-CN"/>
        </w:rPr>
        <w:t>废包装材料为</w:t>
      </w:r>
      <w:r>
        <w:rPr>
          <w:rFonts w:hint="eastAsia" w:ascii="Times New Roman" w:hAnsi="Times New Roman" w:eastAsia="宋体"/>
          <w:color w:val="000000"/>
          <w:highlight w:val="none"/>
          <w:lang w:val="en-US" w:eastAsia="zh-CN"/>
        </w:rPr>
        <w:t>危险废物，委托张家港市华瑞危险废物处理中心有限公司处置；</w:t>
      </w:r>
      <w:r>
        <w:rPr>
          <w:rFonts w:hint="eastAsia" w:ascii="Times New Roman" w:hAnsi="Times New Roman" w:eastAsia="宋体"/>
          <w:color w:val="000000"/>
          <w:sz w:val="24"/>
          <w:lang w:val="en-US" w:eastAsia="zh-CN"/>
        </w:rPr>
        <w:t>员工产生的生活垃圾委托</w:t>
      </w:r>
      <w:r>
        <w:rPr>
          <w:rFonts w:hint="eastAsia" w:ascii="Times New Roman" w:hAnsi="Times New Roman" w:eastAsia="宋体" w:cs="Times New Roman"/>
          <w:color w:val="000000"/>
          <w:sz w:val="21"/>
          <w:szCs w:val="21"/>
          <w:highlight w:val="none"/>
          <w:lang w:val="en-US" w:eastAsia="zh-CN"/>
        </w:rPr>
        <w:t>环卫部门清运</w:t>
      </w:r>
      <w:r>
        <w:rPr>
          <w:rFonts w:hint="eastAsia" w:ascii="Times New Roman" w:hAnsi="Times New Roman" w:eastAsia="宋体"/>
          <w:color w:val="000000"/>
          <w:sz w:val="24"/>
          <w:lang w:val="en-US" w:eastAsia="zh-CN"/>
        </w:rPr>
        <w:t>。</w:t>
      </w:r>
    </w:p>
    <w:p>
      <w:pPr>
        <w:spacing w:line="360" w:lineRule="auto"/>
        <w:ind w:firstLine="480" w:firstLineChars="200"/>
        <w:rPr>
          <w:rFonts w:hint="eastAsia" w:ascii="Times New Roman" w:hAnsi="Times New Roman" w:eastAsia="宋体"/>
          <w:color w:val="000000"/>
          <w:sz w:val="24"/>
          <w:lang w:val="en-US" w:eastAsia="zh-CN"/>
        </w:rPr>
      </w:pPr>
      <w:r>
        <w:rPr>
          <w:rFonts w:hint="eastAsia" w:ascii="Times New Roman" w:hAnsi="Times New Roman"/>
          <w:color w:val="000000"/>
          <w:sz w:val="24"/>
          <w:lang w:val="en-US" w:eastAsia="zh-CN"/>
        </w:rPr>
        <w:t xml:space="preserve">  </w:t>
      </w:r>
      <w:r>
        <w:rPr>
          <w:rFonts w:hint="eastAsia" w:ascii="Times New Roman" w:hAnsi="Times New Roman" w:eastAsia="宋体"/>
          <w:color w:val="000000"/>
          <w:sz w:val="24"/>
          <w:lang w:val="en-US" w:eastAsia="zh-CN"/>
        </w:rPr>
        <w:t>建设单位</w:t>
      </w:r>
      <w:r>
        <w:rPr>
          <w:rFonts w:hint="default" w:ascii="Times New Roman" w:hAnsi="Times New Roman" w:eastAsia="宋体"/>
          <w:color w:val="000000"/>
          <w:sz w:val="24"/>
          <w:lang w:val="en-US" w:eastAsia="zh-CN"/>
        </w:rPr>
        <w:t>设置</w:t>
      </w:r>
      <w:r>
        <w:rPr>
          <w:rFonts w:hint="eastAsia" w:ascii="Times New Roman" w:hAnsi="Times New Roman" w:eastAsia="宋体"/>
          <w:color w:val="000000"/>
          <w:sz w:val="24"/>
          <w:lang w:val="en-US" w:eastAsia="zh-CN"/>
        </w:rPr>
        <w:t>一般固废暂存仓库50m2</w:t>
      </w:r>
      <w:r>
        <w:rPr>
          <w:rFonts w:hint="eastAsia" w:ascii="Times New Roman" w:hAnsi="Times New Roman"/>
          <w:color w:val="000000"/>
          <w:sz w:val="24"/>
          <w:lang w:val="en-US" w:eastAsia="zh-CN"/>
        </w:rPr>
        <w:t>；另</w:t>
      </w:r>
      <w:r>
        <w:rPr>
          <w:rFonts w:hint="eastAsia" w:ascii="Times New Roman" w:hAnsi="Times New Roman" w:eastAsia="宋体"/>
          <w:color w:val="000000"/>
          <w:sz w:val="24"/>
          <w:lang w:val="en-US" w:eastAsia="zh-CN"/>
        </w:rPr>
        <w:t>依托现有</w:t>
      </w:r>
      <w:r>
        <w:rPr>
          <w:rFonts w:hint="default" w:ascii="Times New Roman" w:hAnsi="Times New Roman" w:eastAsia="宋体"/>
          <w:color w:val="000000"/>
          <w:sz w:val="24"/>
          <w:lang w:val="en-US" w:eastAsia="zh-CN"/>
        </w:rPr>
        <w:t>危废仓库</w:t>
      </w:r>
      <w:r>
        <w:rPr>
          <w:rFonts w:hint="eastAsia" w:ascii="Times New Roman" w:hAnsi="Times New Roman" w:eastAsia="宋体"/>
          <w:color w:val="000000"/>
          <w:sz w:val="24"/>
          <w:lang w:val="en-US" w:eastAsia="zh-CN"/>
        </w:rPr>
        <w:t>，面积约</w:t>
      </w:r>
      <w:r>
        <w:rPr>
          <w:rFonts w:hint="default" w:ascii="Times New Roman" w:hAnsi="Times New Roman" w:eastAsia="宋体"/>
          <w:color w:val="000000"/>
          <w:sz w:val="24"/>
          <w:lang w:val="en-US" w:eastAsia="zh-CN"/>
        </w:rPr>
        <w:t>25m2</w:t>
      </w:r>
      <w:r>
        <w:rPr>
          <w:rFonts w:hint="eastAsia" w:ascii="Times New Roman" w:hAnsi="Times New Roman" w:eastAsia="宋体"/>
          <w:color w:val="000000"/>
          <w:sz w:val="24"/>
          <w:lang w:val="en-US" w:eastAsia="zh-CN"/>
        </w:rPr>
        <w:t>。一般固废暂存仓库满足防风、防雨、防晒等条件，基本符合《一般工业固体废物贮存和填埋污染控制标准》（GB 18599-2020）和《中华人民共和国固体废弃物污染环境防治法》中的相关规定。危废仓库设置了标志牌，地面铺设环氧地坪，仓库配备了监控设施、照明设施、消防设施等，基本符合《危险废物贮存污染控制标准》（GB 18597-2001）及2013年修改单（公告2013年第36号）和《省生态环境厅关于进一步加强危险废物污染防治工作的实施意见》（苏环办〔2019〕327号）的相关要求</w:t>
      </w:r>
    </w:p>
    <w:p>
      <w:pPr>
        <w:pStyle w:val="2"/>
        <w:rPr>
          <w:rFonts w:hint="default"/>
          <w:lang w:val="en-US" w:eastAsia="zh-CN"/>
        </w:rPr>
      </w:pPr>
      <w:bookmarkStart w:id="0" w:name="_GoBack"/>
      <w:bookmarkEnd w:id="0"/>
    </w:p>
    <w:p>
      <w:pPr>
        <w:pStyle w:val="3"/>
        <w:adjustRightInd w:val="0"/>
        <w:snapToGrid w:val="0"/>
        <w:spacing w:line="360" w:lineRule="auto"/>
        <w:ind w:left="0" w:firstLine="452" w:firstLineChars="200"/>
        <w:rPr>
          <w:rFonts w:hint="eastAsia" w:eastAsia="宋体" w:cs="宋体"/>
          <w:spacing w:val="-7"/>
          <w:sz w:val="24"/>
          <w:szCs w:val="24"/>
          <w:lang w:val="en-US" w:eastAsia="zh-CN"/>
        </w:rPr>
      </w:pPr>
      <w:r>
        <w:rPr>
          <w:rFonts w:ascii="Times New Roman" w:hAnsi="Times New Roman"/>
          <w:spacing w:val="-7"/>
          <w:sz w:val="24"/>
          <w:szCs w:val="24"/>
        </w:rPr>
        <w:t>(</w:t>
      </w:r>
      <w:r>
        <w:rPr>
          <w:rFonts w:hint="eastAsia"/>
          <w:spacing w:val="-7"/>
          <w:sz w:val="24"/>
          <w:szCs w:val="24"/>
          <w:lang w:eastAsia="zh-CN"/>
        </w:rPr>
        <w:t>五</w:t>
      </w:r>
      <w:r>
        <w:rPr>
          <w:rFonts w:ascii="Times New Roman" w:hAnsi="Times New Roman"/>
          <w:spacing w:val="-7"/>
          <w:sz w:val="24"/>
          <w:szCs w:val="24"/>
        </w:rPr>
        <w:t>)</w:t>
      </w:r>
      <w:r>
        <w:rPr>
          <w:rFonts w:hint="eastAsia" w:eastAsia="宋体" w:cs="宋体"/>
          <w:spacing w:val="-7"/>
          <w:sz w:val="24"/>
          <w:szCs w:val="24"/>
          <w:lang w:val="en-US" w:eastAsia="zh-CN"/>
        </w:rPr>
        <w:t xml:space="preserve">其它环保措施 </w:t>
      </w:r>
    </w:p>
    <w:p>
      <w:pPr>
        <w:pStyle w:val="4"/>
        <w:numPr>
          <w:ilvl w:val="0"/>
          <w:numId w:val="0"/>
        </w:numPr>
        <w:rPr>
          <w:rFonts w:hint="eastAsia" w:ascii="宋体" w:hAnsi="宋体" w:eastAsia="宋体" w:cs="Times New Roman"/>
          <w:color w:val="000000"/>
          <w:kern w:val="2"/>
          <w:sz w:val="24"/>
          <w:szCs w:val="24"/>
          <w:lang w:val="en-US" w:eastAsia="zh-CN" w:bidi="ar-SA"/>
        </w:rPr>
      </w:pPr>
      <w:r>
        <w:rPr>
          <w:rFonts w:hint="eastAsia"/>
          <w:lang w:val="en-US" w:eastAsia="zh-CN"/>
        </w:rPr>
        <w:t xml:space="preserve">  </w:t>
      </w:r>
      <w:r>
        <w:rPr>
          <w:rFonts w:hint="eastAsia" w:ascii="宋体" w:hAnsi="宋体" w:eastAsia="宋体" w:cs="Times New Roman"/>
          <w:color w:val="000000"/>
          <w:kern w:val="2"/>
          <w:sz w:val="24"/>
          <w:szCs w:val="24"/>
          <w:lang w:val="en-US" w:eastAsia="zh-CN" w:bidi="ar-SA"/>
        </w:rPr>
        <w:t>项目以膜电极生产车间边界为起点设置100米卫生防护距离，该范围内无居民点及其他环境敏感点目标。</w:t>
      </w:r>
    </w:p>
    <w:p>
      <w:pPr>
        <w:pStyle w:val="4"/>
        <w:numPr>
          <w:ilvl w:val="0"/>
          <w:numId w:val="0"/>
        </w:numP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 xml:space="preserve">  已进行固定污染源排污</w:t>
      </w:r>
      <w:r>
        <w:rPr>
          <w:rFonts w:hint="default" w:ascii="宋体" w:hAnsi="宋体" w:eastAsia="宋体" w:cs="Times New Roman"/>
          <w:color w:val="000000"/>
          <w:kern w:val="2"/>
          <w:sz w:val="24"/>
          <w:szCs w:val="24"/>
          <w:lang w:val="en-US" w:eastAsia="zh-CN" w:bidi="ar-SA"/>
        </w:rPr>
        <w:t>登记，登记编号91320581MA1YYUQ7XF001W</w:t>
      </w:r>
      <w:r>
        <w:rPr>
          <w:rFonts w:hint="eastAsia" w:ascii="宋体" w:hAnsi="宋体" w:eastAsia="宋体" w:cs="Times New Roman"/>
          <w:color w:val="000000"/>
          <w:kern w:val="2"/>
          <w:sz w:val="24"/>
          <w:szCs w:val="24"/>
          <w:lang w:val="en-US" w:eastAsia="zh-CN" w:bidi="ar-SA"/>
        </w:rPr>
        <w:t>。企业已规范设置各类排污口和标识。</w:t>
      </w:r>
    </w:p>
    <w:p>
      <w:pPr>
        <w:pStyle w:val="4"/>
        <w:numPr>
          <w:ilvl w:val="0"/>
          <w:numId w:val="0"/>
        </w:numPr>
        <w:rPr>
          <w:rFonts w:hint="eastAsia" w:ascii="Times New Roman" w:hAnsi="Times New Roman" w:eastAsia="宋体" w:cs="Times New Roman"/>
          <w:color w:val="000000"/>
          <w:sz w:val="21"/>
          <w:szCs w:val="21"/>
        </w:rPr>
      </w:pPr>
    </w:p>
    <w:p>
      <w:pPr>
        <w:rPr>
          <w:rFonts w:hint="eastAsia"/>
        </w:rPr>
      </w:pPr>
    </w:p>
    <w:p>
      <w:pPr>
        <w:pStyle w:val="3"/>
        <w:adjustRightInd w:val="0"/>
        <w:snapToGrid w:val="0"/>
        <w:spacing w:before="38" w:beforeAutospacing="0" w:line="360" w:lineRule="auto"/>
        <w:ind w:firstLine="361" w:firstLineChars="150"/>
        <w:rPr>
          <w:rFonts w:ascii="Times New Roman" w:hAnsi="Times New Roman"/>
          <w:b/>
          <w:bCs/>
          <w:sz w:val="24"/>
          <w:szCs w:val="24"/>
        </w:rPr>
      </w:pPr>
      <w:r>
        <w:rPr>
          <w:b/>
          <w:bCs/>
          <w:sz w:val="24"/>
          <w:szCs w:val="24"/>
        </w:rPr>
        <w:t>四、环保设施调试效果</w:t>
      </w:r>
      <w:r>
        <w:rPr>
          <w:rFonts w:ascii="Times New Roman" w:hAnsi="Times New Roman"/>
          <w:b/>
          <w:bCs/>
          <w:sz w:val="24"/>
          <w:szCs w:val="24"/>
        </w:rPr>
        <w:t>(</w:t>
      </w:r>
      <w:r>
        <w:rPr>
          <w:b/>
          <w:bCs/>
          <w:sz w:val="24"/>
          <w:szCs w:val="24"/>
        </w:rPr>
        <w:t>污染物达标</w:t>
      </w:r>
      <w:r>
        <w:rPr>
          <w:rFonts w:hint="eastAsia"/>
          <w:b/>
          <w:bCs/>
          <w:sz w:val="24"/>
          <w:szCs w:val="24"/>
        </w:rPr>
        <w:t>排放</w:t>
      </w:r>
      <w:r>
        <w:rPr>
          <w:b/>
          <w:bCs/>
          <w:sz w:val="24"/>
          <w:szCs w:val="24"/>
        </w:rPr>
        <w:t>情况</w:t>
      </w:r>
      <w:r>
        <w:rPr>
          <w:rFonts w:ascii="Times New Roman" w:hAnsi="Times New Roman"/>
          <w:b/>
          <w:bCs/>
          <w:sz w:val="24"/>
          <w:szCs w:val="24"/>
        </w:rPr>
        <w:t>)</w:t>
      </w:r>
    </w:p>
    <w:p>
      <w:pPr>
        <w:pStyle w:val="4"/>
        <w:numPr>
          <w:ilvl w:val="0"/>
          <w:numId w:val="0"/>
        </w:numPr>
        <w:ind w:firstLine="480" w:firstLineChars="2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2022年4月27日、2022年4月28日江苏康达检测技术股份有限公司对江苏擎动新能源科技有限公司扩建膜电极生产项目进行验收监测，验收监测期间，企业生产正常，各项环保治理设施均运转正常，生产工况大于90%，符合监测技术规范要求。验收监测期间：</w:t>
      </w:r>
    </w:p>
    <w:p>
      <w:pPr>
        <w:pStyle w:val="4"/>
        <w:numPr>
          <w:ilvl w:val="0"/>
          <w:numId w:val="0"/>
        </w:numPr>
        <w:ind w:firstLine="480" w:firstLineChars="2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1.废水</w:t>
      </w:r>
    </w:p>
    <w:p>
      <w:pPr>
        <w:pStyle w:val="4"/>
        <w:numPr>
          <w:ilvl w:val="0"/>
          <w:numId w:val="0"/>
        </w:numPr>
        <w:ind w:firstLine="480" w:firstLineChars="200"/>
        <w:rPr>
          <w:rFonts w:hint="default" w:ascii="宋体" w:hAnsi="宋体" w:eastAsia="宋体" w:cs="Times New Roman"/>
          <w:color w:val="000000"/>
          <w:kern w:val="2"/>
          <w:sz w:val="24"/>
          <w:szCs w:val="24"/>
          <w:lang w:val="en-US" w:eastAsia="zh-CN" w:bidi="ar-SA"/>
        </w:rPr>
      </w:pPr>
    </w:p>
    <w:p>
      <w:pPr>
        <w:pStyle w:val="4"/>
        <w:numPr>
          <w:ilvl w:val="0"/>
          <w:numId w:val="0"/>
        </w:numPr>
        <w:ind w:firstLine="480" w:firstLineChars="2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本项目产生的废水仅为生活污水，最终接管至开发区凯发新泉水务（常熟）有限公司处理，属于间接排放。通过对项目生活污水排口水样监测，符合污水处理接管标准。</w:t>
      </w:r>
    </w:p>
    <w:p>
      <w:pPr>
        <w:spacing w:line="360" w:lineRule="auto"/>
        <w:ind w:firstLine="480" w:firstLineChars="2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 xml:space="preserve">   2.废气 </w:t>
      </w:r>
    </w:p>
    <w:p>
      <w:pPr>
        <w:pStyle w:val="4"/>
        <w:numPr>
          <w:ilvl w:val="0"/>
          <w:numId w:val="0"/>
        </w:numP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本项目在点胶工序使用胶粘剂产生的非甲烷总烃废气满足江苏省地方标准《大气污染物综合排放标准》（DB32/4041-2021）表3相关排放监控浓度限值；企业厂区内无组织非甲烷总烃废气排放满足江苏省地方标准《大气污染物综合排放标准》（DB32/4041-2021）表2相关标准限值。</w:t>
      </w:r>
    </w:p>
    <w:p>
      <w:pPr>
        <w:spacing w:line="360" w:lineRule="auto"/>
        <w:ind w:firstLine="480" w:firstLineChars="2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 xml:space="preserve">(3)噪声 </w:t>
      </w:r>
    </w:p>
    <w:p>
      <w:pPr>
        <w:spacing w:line="360" w:lineRule="auto"/>
        <w:ind w:firstLine="480" w:firstLineChars="2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本项目厂界四周昼、夜间噪声排放达到《工业企业厂界环境噪声排放标准》（GB12348-2008）3类标准。</w:t>
      </w:r>
    </w:p>
    <w:p>
      <w:pPr>
        <w:spacing w:line="360" w:lineRule="auto"/>
        <w:ind w:firstLine="480" w:firstLineChars="2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(4)固体废物</w:t>
      </w:r>
    </w:p>
    <w:p>
      <w:pPr>
        <w:pStyle w:val="4"/>
        <w:numPr>
          <w:ilvl w:val="0"/>
          <w:numId w:val="0"/>
        </w:numP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本项目所有工业固废均进行合理处理处置，实现工业固体废弃物零排放。</w:t>
      </w:r>
    </w:p>
    <w:p>
      <w:pPr>
        <w:pStyle w:val="4"/>
        <w:numPr>
          <w:ilvl w:val="0"/>
          <w:numId w:val="0"/>
        </w:numPr>
        <w:rPr>
          <w:rFonts w:hint="eastAsia" w:ascii="宋体" w:hAnsi="宋体" w:eastAsia="宋体" w:cs="Times New Roman"/>
          <w:color w:val="000000"/>
          <w:kern w:val="2"/>
          <w:sz w:val="24"/>
          <w:szCs w:val="24"/>
          <w:lang w:val="en-US" w:eastAsia="zh-CN" w:bidi="ar-SA"/>
        </w:rPr>
      </w:pPr>
    </w:p>
    <w:p>
      <w:pPr>
        <w:pStyle w:val="4"/>
        <w:numPr>
          <w:ilvl w:val="0"/>
          <w:numId w:val="0"/>
        </w:numPr>
        <w:rPr>
          <w:rFonts w:hint="eastAsia" w:ascii="宋体" w:hAnsi="宋体" w:eastAsia="宋体" w:cs="Times New Roman"/>
          <w:color w:val="000000"/>
          <w:kern w:val="2"/>
          <w:sz w:val="24"/>
          <w:szCs w:val="24"/>
          <w:lang w:val="en-US" w:eastAsia="zh-CN" w:bidi="ar-SA"/>
        </w:rPr>
      </w:pPr>
    </w:p>
    <w:p>
      <w:pPr>
        <w:spacing w:line="360" w:lineRule="auto"/>
        <w:ind w:firstLine="480" w:firstLineChars="2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(5)总量</w:t>
      </w:r>
    </w:p>
    <w:p>
      <w:pPr>
        <w:spacing w:line="360" w:lineRule="auto"/>
        <w:ind w:firstLine="480" w:firstLineChars="2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根据环评批复要求，结合验收监测期间监测结果表明：废水年排放量符合环评报告和批复要求。</w:t>
      </w:r>
    </w:p>
    <w:p>
      <w:pPr>
        <w:pStyle w:val="4"/>
        <w:numPr>
          <w:ilvl w:val="0"/>
          <w:numId w:val="0"/>
        </w:numPr>
        <w:rPr>
          <w:rFonts w:hint="default" w:ascii="Times New Roman" w:hAnsi="Times New Roman" w:eastAsia="宋体" w:cs="Times New Roman"/>
          <w:sz w:val="24"/>
          <w:lang w:val="en-US" w:eastAsia="zh-CN"/>
        </w:rPr>
      </w:pPr>
    </w:p>
    <w:p>
      <w:pPr>
        <w:pStyle w:val="4"/>
        <w:numPr>
          <w:ilvl w:val="0"/>
          <w:numId w:val="0"/>
        </w:numPr>
        <w:rPr>
          <w:rFonts w:hint="eastAsia"/>
          <w:b/>
          <w:bCs/>
          <w:sz w:val="24"/>
          <w:szCs w:val="24"/>
          <w:lang w:val="en-US" w:eastAsia="zh-CN"/>
        </w:rPr>
      </w:pPr>
      <w:r>
        <w:rPr>
          <w:rFonts w:hint="eastAsia"/>
          <w:b/>
          <w:bCs/>
          <w:sz w:val="24"/>
          <w:szCs w:val="24"/>
          <w:lang w:val="en-US" w:eastAsia="zh-CN"/>
        </w:rPr>
        <w:t>五、验收结论</w:t>
      </w:r>
    </w:p>
    <w:p>
      <w:pPr>
        <w:pStyle w:val="4"/>
        <w:numPr>
          <w:ilvl w:val="0"/>
          <w:numId w:val="0"/>
        </w:numPr>
        <w:ind w:firstLine="480" w:firstLineChars="200"/>
        <w:rPr>
          <w:rFonts w:hint="eastAsia" w:ascii="Times New Roman" w:hAnsi="Times New Roman"/>
          <w:kern w:val="2"/>
          <w:sz w:val="24"/>
          <w:szCs w:val="24"/>
        </w:rPr>
      </w:pPr>
      <w:r>
        <w:rPr>
          <w:rFonts w:hint="eastAsia" w:ascii="宋体" w:hAnsi="宋体" w:eastAsia="宋体" w:cs="Times New Roman"/>
          <w:kern w:val="0"/>
          <w:sz w:val="24"/>
          <w:szCs w:val="24"/>
          <w:lang w:val="en-US" w:eastAsia="zh-CN" w:bidi="ar-SA"/>
        </w:rPr>
        <w:t>本项目基本落实了环评及批复要求的污染防治措施，对照《建设项目竣工环境保护验收暂行办法》</w:t>
      </w:r>
      <w:r>
        <w:rPr>
          <w:rFonts w:hint="default" w:ascii="Times New Roman" w:hAnsi="Times New Roman" w:eastAsia="宋体" w:cs="Times New Roman"/>
          <w:color w:val="000000"/>
          <w:sz w:val="24"/>
          <w:highlight w:val="none"/>
          <w:lang w:val="en-US" w:eastAsia="zh-CN"/>
        </w:rPr>
        <w:t>（</w:t>
      </w:r>
      <w:r>
        <w:rPr>
          <w:rFonts w:hint="eastAsia" w:ascii="Times New Roman" w:hAnsi="Times New Roman" w:eastAsia="宋体" w:cs="Times New Roman"/>
          <w:color w:val="000000"/>
          <w:sz w:val="24"/>
          <w:highlight w:val="none"/>
          <w:lang w:val="en-US" w:eastAsia="zh-CN"/>
        </w:rPr>
        <w:t>国环规环评[2017]4号</w:t>
      </w:r>
      <w:r>
        <w:rPr>
          <w:rFonts w:hint="default" w:ascii="Times New Roman" w:hAnsi="Times New Roman" w:eastAsia="宋体" w:cs="Times New Roman"/>
          <w:color w:val="000000"/>
          <w:sz w:val="24"/>
          <w:highlight w:val="none"/>
          <w:lang w:val="en-US" w:eastAsia="zh-CN"/>
        </w:rPr>
        <w:t>）</w:t>
      </w:r>
      <w:r>
        <w:rPr>
          <w:rFonts w:hint="eastAsia" w:ascii="宋体" w:hAnsi="宋体" w:eastAsia="宋体" w:cs="Times New Roman"/>
          <w:kern w:val="0"/>
          <w:sz w:val="24"/>
          <w:szCs w:val="24"/>
          <w:lang w:val="en-US" w:eastAsia="zh-CN" w:bidi="ar-SA"/>
        </w:rPr>
        <w:t>中的规定及要求，验收工作组认为“</w:t>
      </w:r>
      <w:r>
        <w:rPr>
          <w:rFonts w:hint="eastAsia" w:ascii="宋体" w:hAnsi="宋体" w:cs="Times New Roman"/>
          <w:color w:val="000000"/>
          <w:sz w:val="24"/>
          <w:szCs w:val="24"/>
        </w:rPr>
        <w:t>江苏擎动新能源科技有限公司扩建膜电极生产项目</w:t>
      </w:r>
      <w:r>
        <w:rPr>
          <w:rFonts w:hint="eastAsia" w:ascii="宋体" w:hAnsi="宋体" w:eastAsia="宋体" w:cs="Times New Roman"/>
          <w:kern w:val="0"/>
          <w:sz w:val="24"/>
          <w:szCs w:val="24"/>
          <w:lang w:val="en-US" w:eastAsia="zh-CN" w:bidi="ar-SA"/>
        </w:rPr>
        <w:t>”竣工环保设施验收合格，可投入正常生产</w:t>
      </w:r>
      <w:r>
        <w:rPr>
          <w:rFonts w:hint="eastAsia" w:ascii="Times New Roman" w:hAnsi="Times New Roman"/>
          <w:kern w:val="2"/>
          <w:sz w:val="24"/>
          <w:szCs w:val="24"/>
        </w:rPr>
        <w:t>。</w:t>
      </w:r>
    </w:p>
    <w:p>
      <w:pPr>
        <w:pStyle w:val="4"/>
        <w:numPr>
          <w:ilvl w:val="0"/>
          <w:numId w:val="0"/>
        </w:numPr>
        <w:rPr>
          <w:rFonts w:hint="eastAsia"/>
          <w:b/>
          <w:bCs/>
          <w:sz w:val="24"/>
          <w:szCs w:val="24"/>
          <w:lang w:val="en-US" w:eastAsia="zh-CN"/>
        </w:rPr>
      </w:pPr>
    </w:p>
    <w:p>
      <w:pPr>
        <w:pStyle w:val="4"/>
        <w:numPr>
          <w:ilvl w:val="0"/>
          <w:numId w:val="4"/>
        </w:numPr>
        <w:ind w:left="240" w:leftChars="0" w:firstLine="0" w:firstLineChars="0"/>
        <w:rPr>
          <w:b/>
          <w:bCs/>
          <w:sz w:val="24"/>
          <w:szCs w:val="24"/>
        </w:rPr>
      </w:pPr>
      <w:r>
        <w:rPr>
          <w:b/>
          <w:bCs/>
          <w:sz w:val="24"/>
          <w:szCs w:val="24"/>
        </w:rPr>
        <w:t>后续要求</w:t>
      </w:r>
    </w:p>
    <w:p>
      <w:pPr>
        <w:pStyle w:val="4"/>
        <w:numPr>
          <w:ilvl w:val="0"/>
          <w:numId w:val="0"/>
        </w:numPr>
        <w:ind w:left="240" w:leftChars="0"/>
        <w:rPr>
          <w:rFonts w:hint="eastAsia"/>
          <w:b/>
          <w:bCs/>
          <w:sz w:val="24"/>
          <w:szCs w:val="24"/>
          <w:lang w:val="en-US" w:eastAsia="zh-CN"/>
        </w:rPr>
      </w:pPr>
    </w:p>
    <w:p>
      <w:pPr>
        <w:adjustRightInd w:val="0"/>
        <w:snapToGrid w:val="0"/>
        <w:spacing w:line="360" w:lineRule="auto"/>
        <w:ind w:firstLine="480" w:firstLineChars="200"/>
        <w:rPr>
          <w:rFonts w:ascii="宋体" w:hAnsi="宋体"/>
          <w:sz w:val="24"/>
          <w:szCs w:val="24"/>
        </w:rPr>
      </w:pPr>
      <w:r>
        <w:rPr>
          <w:sz w:val="24"/>
          <w:szCs w:val="24"/>
        </w:rPr>
        <w:t>1</w:t>
      </w:r>
      <w:r>
        <w:rPr>
          <w:rFonts w:ascii="宋体" w:hAnsi="宋体"/>
          <w:sz w:val="24"/>
          <w:szCs w:val="24"/>
        </w:rPr>
        <w:t>、</w:t>
      </w:r>
      <w:r>
        <w:rPr>
          <w:rFonts w:hint="eastAsia" w:ascii="宋体" w:hAnsi="宋体"/>
          <w:sz w:val="24"/>
          <w:szCs w:val="24"/>
        </w:rPr>
        <w:t>加强环保处理设施的运行管理工作，确保污染物长期稳定达标排放；</w:t>
      </w:r>
    </w:p>
    <w:p>
      <w:pPr>
        <w:adjustRightInd w:val="0"/>
        <w:snapToGrid w:val="0"/>
        <w:spacing w:line="360" w:lineRule="auto"/>
        <w:ind w:firstLine="480" w:firstLineChars="200"/>
        <w:rPr>
          <w:rFonts w:hint="eastAsia" w:ascii="Times New Roman" w:hAnsi="Times New Roman"/>
          <w:sz w:val="24"/>
          <w:szCs w:val="24"/>
        </w:rPr>
      </w:pPr>
      <w:r>
        <w:rPr>
          <w:rFonts w:hint="eastAsia" w:ascii="宋体" w:hAnsi="宋体"/>
          <w:sz w:val="24"/>
          <w:szCs w:val="24"/>
        </w:rPr>
        <w:t>2、</w:t>
      </w:r>
      <w:r>
        <w:rPr>
          <w:rFonts w:ascii="宋体" w:hAnsi="宋体"/>
          <w:sz w:val="24"/>
          <w:szCs w:val="24"/>
        </w:rPr>
        <w:t>本次验收仅对验收监测期间数据、现场检查情况负责，建设单位需要继续完善环保管理制度、管理措施，落实长期管理，定期对环保设施做相关监测，确保符合环保相关法律法规要求；</w:t>
      </w:r>
    </w:p>
    <w:p>
      <w:pPr>
        <w:adjustRightInd w:val="0"/>
        <w:snapToGrid w:val="0"/>
        <w:spacing w:line="360" w:lineRule="auto"/>
        <w:ind w:firstLine="480" w:firstLineChars="200"/>
        <w:rPr>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lang w:eastAsia="zh-CN"/>
        </w:rPr>
        <w:t>尽快更新企业突发环境事件应急预案，</w:t>
      </w:r>
      <w:r>
        <w:rPr>
          <w:rFonts w:ascii="宋体" w:hAnsi="宋体"/>
          <w:sz w:val="24"/>
          <w:szCs w:val="24"/>
        </w:rPr>
        <w:t>进一步按《江苏省排污口设置及规范化整治管理办法》的规定设置各类排污口和标志；</w:t>
      </w:r>
    </w:p>
    <w:p>
      <w:pPr>
        <w:pStyle w:val="4"/>
        <w:numPr>
          <w:ilvl w:val="0"/>
          <w:numId w:val="0"/>
        </w:numPr>
        <w:rPr>
          <w:rFonts w:hint="default"/>
          <w:b/>
          <w:bCs/>
          <w:sz w:val="24"/>
          <w:szCs w:val="24"/>
          <w:lang w:val="en-US" w:eastAsia="zh-CN"/>
        </w:rPr>
      </w:pPr>
    </w:p>
    <w:p>
      <w:pPr>
        <w:pStyle w:val="3"/>
        <w:adjustRightInd w:val="0"/>
        <w:snapToGrid w:val="0"/>
        <w:spacing w:before="16" w:beforeAutospacing="0" w:line="360" w:lineRule="auto"/>
        <w:ind w:firstLine="482" w:firstLineChars="200"/>
        <w:jc w:val="both"/>
        <w:rPr>
          <w:rFonts w:ascii="Times New Roman" w:hAnsi="Times New Roman"/>
          <w:b/>
          <w:bCs/>
          <w:sz w:val="24"/>
          <w:szCs w:val="24"/>
        </w:rPr>
      </w:pPr>
      <w:r>
        <w:rPr>
          <w:b/>
          <w:bCs/>
          <w:sz w:val="24"/>
          <w:szCs w:val="24"/>
        </w:rPr>
        <w:t>七、验收人员信息</w:t>
      </w:r>
      <w:r>
        <w:rPr>
          <w:rFonts w:ascii="Times New Roman" w:hAnsi="Times New Roman"/>
          <w:b/>
          <w:bCs/>
          <w:sz w:val="24"/>
          <w:szCs w:val="24"/>
        </w:rPr>
        <w:t xml:space="preserve"> </w:t>
      </w:r>
    </w:p>
    <w:p>
      <w:pPr>
        <w:pStyle w:val="4"/>
        <w:numPr>
          <w:ilvl w:val="0"/>
          <w:numId w:val="0"/>
        </w:numPr>
        <w:rPr>
          <w:rFonts w:hint="eastAsia" w:ascii="宋体" w:hAnsi="宋体"/>
          <w:kern w:val="2"/>
          <w:sz w:val="24"/>
          <w:szCs w:val="24"/>
        </w:rPr>
      </w:pPr>
      <w:r>
        <w:rPr>
          <w:rFonts w:ascii="宋体" w:hAnsi="宋体"/>
          <w:kern w:val="2"/>
          <w:sz w:val="24"/>
          <w:szCs w:val="24"/>
        </w:rPr>
        <w:t>验收工作组人员名单</w:t>
      </w:r>
      <w:r>
        <w:rPr>
          <w:rFonts w:hint="eastAsia" w:ascii="宋体" w:hAnsi="宋体"/>
          <w:kern w:val="2"/>
          <w:sz w:val="24"/>
          <w:szCs w:val="24"/>
        </w:rPr>
        <w:t>附</w:t>
      </w:r>
      <w:r>
        <w:rPr>
          <w:rFonts w:ascii="宋体" w:hAnsi="宋体"/>
          <w:kern w:val="2"/>
          <w:sz w:val="24"/>
          <w:szCs w:val="24"/>
        </w:rPr>
        <w:t>后</w:t>
      </w:r>
      <w:r>
        <w:rPr>
          <w:rFonts w:hint="eastAsia" w:ascii="宋体" w:hAnsi="宋体"/>
          <w:kern w:val="2"/>
          <w:sz w:val="24"/>
          <w:szCs w:val="24"/>
        </w:rPr>
        <w:t>。</w:t>
      </w:r>
    </w:p>
    <w:p>
      <w:pPr>
        <w:pStyle w:val="4"/>
        <w:numPr>
          <w:ilvl w:val="0"/>
          <w:numId w:val="0"/>
        </w:numPr>
        <w:rPr>
          <w:rFonts w:hint="eastAsia" w:ascii="宋体" w:hAnsi="宋体"/>
          <w:kern w:val="2"/>
          <w:sz w:val="24"/>
          <w:szCs w:val="24"/>
        </w:rPr>
      </w:pPr>
    </w:p>
    <w:p>
      <w:pPr>
        <w:pStyle w:val="4"/>
        <w:numPr>
          <w:ilvl w:val="0"/>
          <w:numId w:val="0"/>
        </w:numPr>
        <w:rPr>
          <w:rFonts w:hint="eastAsia" w:ascii="宋体" w:hAnsi="宋体"/>
          <w:kern w:val="2"/>
          <w:sz w:val="24"/>
          <w:szCs w:val="24"/>
        </w:rPr>
      </w:pPr>
    </w:p>
    <w:p>
      <w:pPr>
        <w:pStyle w:val="4"/>
        <w:numPr>
          <w:ilvl w:val="0"/>
          <w:numId w:val="0"/>
        </w:numPr>
        <w:rPr>
          <w:rFonts w:hint="eastAsia" w:ascii="宋体" w:hAnsi="宋体" w:cs="Times New Roman"/>
          <w:color w:val="000000"/>
          <w:sz w:val="24"/>
          <w:szCs w:val="24"/>
        </w:rPr>
      </w:pPr>
      <w:r>
        <w:rPr>
          <w:rFonts w:hint="eastAsia" w:ascii="宋体" w:hAnsi="宋体"/>
          <w:kern w:val="2"/>
          <w:sz w:val="24"/>
          <w:szCs w:val="24"/>
          <w:lang w:val="en-US" w:eastAsia="zh-CN"/>
        </w:rPr>
        <w:t xml:space="preserve">                             </w:t>
      </w:r>
      <w:r>
        <w:rPr>
          <w:rFonts w:hint="eastAsia" w:ascii="宋体" w:hAnsi="宋体" w:cs="Times New Roman"/>
          <w:color w:val="000000"/>
          <w:sz w:val="24"/>
          <w:szCs w:val="24"/>
        </w:rPr>
        <w:t>江苏擎动新能源科技有限公司</w:t>
      </w:r>
    </w:p>
    <w:p>
      <w:pPr>
        <w:pStyle w:val="4"/>
        <w:numPr>
          <w:ilvl w:val="0"/>
          <w:numId w:val="0"/>
        </w:numPr>
        <w:rPr>
          <w:rFonts w:hint="default" w:ascii="宋体" w:hAnsi="宋体" w:eastAsia="宋体" w:cs="Times New Roman"/>
          <w:color w:val="000000"/>
          <w:sz w:val="24"/>
          <w:szCs w:val="24"/>
          <w:lang w:val="en-US" w:eastAsia="zh-CN"/>
        </w:rPr>
      </w:pPr>
      <w:r>
        <w:rPr>
          <w:rFonts w:hint="eastAsia" w:ascii="宋体" w:hAnsi="宋体" w:cs="Times New Roman"/>
          <w:color w:val="000000"/>
          <w:sz w:val="24"/>
          <w:szCs w:val="24"/>
          <w:lang w:val="en-US" w:eastAsia="zh-CN"/>
        </w:rPr>
        <w:t xml:space="preserve">                                    </w:t>
      </w:r>
      <w:r>
        <w:rPr>
          <w:rFonts w:ascii="Times New Roman" w:hAnsi="Times New Roman"/>
          <w:kern w:val="2"/>
          <w:sz w:val="24"/>
          <w:szCs w:val="24"/>
        </w:rPr>
        <w:t>202</w:t>
      </w:r>
      <w:r>
        <w:rPr>
          <w:rFonts w:hint="eastAsia" w:ascii="Times New Roman" w:hAnsi="Times New Roman"/>
          <w:kern w:val="2"/>
          <w:sz w:val="24"/>
          <w:szCs w:val="24"/>
        </w:rPr>
        <w:t>2</w:t>
      </w:r>
      <w:r>
        <w:rPr>
          <w:rFonts w:ascii="Times New Roman" w:hAnsi="Times New Roman"/>
          <w:kern w:val="2"/>
          <w:sz w:val="24"/>
          <w:szCs w:val="24"/>
        </w:rPr>
        <w:t xml:space="preserve"> </w:t>
      </w:r>
      <w:r>
        <w:rPr>
          <w:rFonts w:ascii="宋体" w:hAnsi="宋体"/>
          <w:kern w:val="2"/>
          <w:sz w:val="24"/>
          <w:szCs w:val="24"/>
        </w:rPr>
        <w:t>年</w:t>
      </w:r>
      <w:r>
        <w:rPr>
          <w:rFonts w:hint="eastAsia" w:ascii="Times New Roman" w:hAnsi="Times New Roman"/>
          <w:kern w:val="2"/>
          <w:sz w:val="24"/>
          <w:szCs w:val="24"/>
        </w:rPr>
        <w:t>7</w:t>
      </w:r>
      <w:r>
        <w:rPr>
          <w:rFonts w:ascii="宋体" w:hAnsi="宋体"/>
          <w:kern w:val="2"/>
          <w:sz w:val="24"/>
          <w:szCs w:val="24"/>
        </w:rPr>
        <w:t>月</w:t>
      </w:r>
      <w:r>
        <w:rPr>
          <w:rFonts w:hint="eastAsia" w:ascii="Times New Roman" w:hAnsi="Times New Roman"/>
          <w:kern w:val="2"/>
          <w:sz w:val="24"/>
          <w:szCs w:val="24"/>
          <w:lang w:val="en-US" w:eastAsia="zh-CN"/>
        </w:rPr>
        <w:t>28</w:t>
      </w:r>
      <w:r>
        <w:rPr>
          <w:rFonts w:ascii="宋体" w:hAnsi="宋体"/>
          <w:kern w:val="2"/>
          <w:sz w:val="24"/>
          <w:szCs w:val="24"/>
        </w:rPr>
        <w:t>日</w:t>
      </w:r>
    </w:p>
    <w:p>
      <w:pPr>
        <w:pStyle w:val="4"/>
        <w:numPr>
          <w:ilvl w:val="0"/>
          <w:numId w:val="0"/>
        </w:numPr>
        <w:rPr>
          <w:rFonts w:hint="default" w:ascii="宋体" w:hAnsi="宋体" w:eastAsia="宋体"/>
          <w:kern w:val="2"/>
          <w:sz w:val="24"/>
          <w:szCs w:val="24"/>
          <w:lang w:val="en-US" w:eastAsia="zh-CN"/>
        </w:rPr>
      </w:pPr>
      <w:r>
        <w:rPr>
          <w:rFonts w:hint="eastAsia" w:ascii="宋体" w:hAnsi="宋体" w:cs="Times New Roman"/>
          <w:color w:val="000000"/>
          <w:sz w:val="24"/>
          <w:szCs w:val="24"/>
          <w:lang w:val="en-US" w:eastAsia="zh-CN"/>
        </w:rPr>
        <w:t xml:space="preserve">                  </w:t>
      </w:r>
      <w:r>
        <w:rPr>
          <w:rFonts w:hint="eastAsia" w:ascii="宋体" w:hAnsi="宋体"/>
          <w:kern w:val="2"/>
          <w:sz w:val="24"/>
          <w:szCs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AA5370"/>
    <w:multiLevelType w:val="singleLevel"/>
    <w:tmpl w:val="81AA5370"/>
    <w:lvl w:ilvl="0" w:tentative="0">
      <w:start w:val="1"/>
      <w:numFmt w:val="bullet"/>
      <w:pStyle w:val="4"/>
      <w:lvlText w:val=""/>
      <w:lvlJc w:val="left"/>
      <w:pPr>
        <w:tabs>
          <w:tab w:val="left" w:pos="2040"/>
        </w:tabs>
        <w:ind w:left="2040" w:hanging="360"/>
      </w:pPr>
      <w:rPr>
        <w:rFonts w:hint="default" w:ascii="Wingdings" w:hAnsi="Wingdings"/>
      </w:rPr>
    </w:lvl>
  </w:abstractNum>
  <w:abstractNum w:abstractNumId="1">
    <w:nsid w:val="CC845954"/>
    <w:multiLevelType w:val="singleLevel"/>
    <w:tmpl w:val="CC845954"/>
    <w:lvl w:ilvl="0" w:tentative="0">
      <w:start w:val="2"/>
      <w:numFmt w:val="chineseCounting"/>
      <w:lvlText w:val="(%1)"/>
      <w:lvlJc w:val="left"/>
      <w:pPr>
        <w:tabs>
          <w:tab w:val="left" w:pos="312"/>
        </w:tabs>
      </w:pPr>
      <w:rPr>
        <w:rFonts w:hint="eastAsia"/>
      </w:rPr>
    </w:lvl>
  </w:abstractNum>
  <w:abstractNum w:abstractNumId="2">
    <w:nsid w:val="FF390994"/>
    <w:multiLevelType w:val="singleLevel"/>
    <w:tmpl w:val="FF390994"/>
    <w:lvl w:ilvl="0" w:tentative="0">
      <w:start w:val="6"/>
      <w:numFmt w:val="chineseCounting"/>
      <w:suff w:val="nothing"/>
      <w:lvlText w:val="%1、"/>
      <w:lvlJc w:val="left"/>
      <w:pPr>
        <w:ind w:left="240" w:leftChars="0" w:firstLine="0" w:firstLineChars="0"/>
      </w:pPr>
      <w:rPr>
        <w:rFonts w:hint="eastAsia"/>
      </w:rPr>
    </w:lvl>
  </w:abstractNum>
  <w:abstractNum w:abstractNumId="3">
    <w:nsid w:val="16921E9C"/>
    <w:multiLevelType w:val="multilevel"/>
    <w:tmpl w:val="16921E9C"/>
    <w:lvl w:ilvl="0" w:tentative="0">
      <w:start w:val="1"/>
      <w:numFmt w:val="japaneseCounting"/>
      <w:lvlText w:val="%1、"/>
      <w:lvlJc w:val="left"/>
      <w:pPr>
        <w:ind w:left="510" w:hanging="51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AB8"/>
    <w:rsid w:val="00017AB8"/>
    <w:rsid w:val="0052207E"/>
    <w:rsid w:val="00563E88"/>
    <w:rsid w:val="00765F87"/>
    <w:rsid w:val="00C22B54"/>
    <w:rsid w:val="07607628"/>
    <w:rsid w:val="27BD2934"/>
    <w:rsid w:val="28B50A48"/>
    <w:rsid w:val="334E7EF0"/>
    <w:rsid w:val="489E6880"/>
    <w:rsid w:val="64412C2E"/>
    <w:rsid w:val="6B3A0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paragraph" w:styleId="2">
    <w:name w:val="heading 3"/>
    <w:basedOn w:val="1"/>
    <w:next w:val="1"/>
    <w:qFormat/>
    <w:uiPriority w:val="0"/>
    <w:pPr>
      <w:keepNext/>
      <w:outlineLvl w:val="2"/>
    </w:pPr>
    <w:rPr>
      <w:b/>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unhideWhenUsed/>
    <w:qFormat/>
    <w:uiPriority w:val="99"/>
    <w:pPr>
      <w:spacing w:before="100" w:beforeAutospacing="1" w:after="100" w:afterAutospacing="1"/>
      <w:ind w:left="104"/>
    </w:pPr>
    <w:rPr>
      <w:rFonts w:ascii="宋体" w:hAnsi="宋体"/>
      <w:sz w:val="28"/>
      <w:szCs w:val="28"/>
    </w:rPr>
  </w:style>
  <w:style w:type="paragraph" w:styleId="4">
    <w:name w:val="List Bullet 5"/>
    <w:basedOn w:val="1"/>
    <w:semiHidden/>
    <w:unhideWhenUsed/>
    <w:qFormat/>
    <w:uiPriority w:val="99"/>
    <w:pPr>
      <w:numPr>
        <w:ilvl w:val="0"/>
        <w:numId w:val="1"/>
      </w:numPr>
    </w:pPr>
  </w:style>
  <w:style w:type="paragraph" w:customStyle="1" w:styleId="7">
    <w:name w:val="List Paragraph"/>
    <w:basedOn w:val="1"/>
    <w:qFormat/>
    <w:uiPriority w:val="0"/>
    <w:pPr>
      <w:ind w:firstLine="420" w:firstLineChars="200"/>
      <w:jc w:val="left"/>
    </w:pPr>
    <w:rPr>
      <w:rFonts w:cs="Times New Roman"/>
      <w:kern w:val="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444</Characters>
  <Lines>3</Lines>
  <Paragraphs>1</Paragraphs>
  <TotalTime>2</TotalTime>
  <ScaleCrop>false</ScaleCrop>
  <LinksUpToDate>false</LinksUpToDate>
  <CharactersWithSpaces>520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2022-07-28T00:13:00Z</dcterms:created>
  <dc:creator>RXM</dc:creator>
  <cp:lastModifiedBy>任我行</cp:lastModifiedBy>
  <dcterms:modified xsi:type="dcterms:W3CDTF">2022-08-31T06:08:02Z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