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35FF72BF">
            <w:pPr>
              <w:adjustRightInd w:val="0"/>
              <w:snapToGrid w:val="0"/>
              <w:spacing w:line="360" w:lineRule="exact"/>
              <w:jc w:val="center"/>
              <w:rPr>
                <w:rFonts w:hint="eastAsia" w:ascii="Times New Roman" w:hAnsi="Times New Roman" w:cs="Times New Roman"/>
                <w:b/>
                <w:bCs/>
                <w:kern w:val="2"/>
                <w:sz w:val="30"/>
                <w:szCs w:val="30"/>
                <w:highlight w:val="none"/>
                <w:lang w:val="en-US" w:eastAsia="zh-CN" w:bidi="ar-SA"/>
              </w:rPr>
            </w:pPr>
            <w:r>
              <w:rPr>
                <w:rFonts w:hint="eastAsia" w:ascii="Times New Roman" w:hAnsi="Times New Roman" w:cs="Times New Roman"/>
                <w:b/>
                <w:bCs/>
                <w:kern w:val="2"/>
                <w:sz w:val="30"/>
                <w:szCs w:val="30"/>
                <w:highlight w:val="none"/>
                <w:lang w:val="en-US" w:eastAsia="zh-CN" w:bidi="ar-SA"/>
              </w:rPr>
              <w:t>盈纬达（苏州）医疗器械有限公司新增年产12000件口扫仪组装项目职业病危害控制效果评价</w:t>
            </w:r>
          </w:p>
          <w:p w14:paraId="4774AABC">
            <w:pPr>
              <w:adjustRightInd w:val="0"/>
              <w:snapToGrid w:val="0"/>
              <w:spacing w:line="360" w:lineRule="exact"/>
              <w:jc w:val="center"/>
              <w:rPr>
                <w:rFonts w:hint="eastAsia" w:ascii="Times New Roman" w:hAnsi="Times New Roman" w:cs="Times New Roman"/>
                <w:b/>
                <w:bCs/>
                <w:kern w:val="2"/>
                <w:sz w:val="30"/>
                <w:szCs w:val="30"/>
                <w:highlight w:val="none"/>
                <w:lang w:val="en-US" w:eastAsia="zh-CN" w:bidi="ar-SA"/>
              </w:rPr>
            </w:pPr>
            <w:r>
              <w:rPr>
                <w:rFonts w:hint="eastAsia" w:ascii="Times New Roman" w:hAnsi="Times New Roman" w:cs="Times New Roman"/>
                <w:b/>
                <w:bCs/>
                <w:kern w:val="2"/>
                <w:sz w:val="30"/>
                <w:szCs w:val="30"/>
                <w:highlight w:val="none"/>
                <w:lang w:val="en-US" w:eastAsia="zh-CN" w:bidi="ar-SA"/>
              </w:rPr>
              <w:t>【康达卫评（2024）第281号】</w:t>
            </w:r>
          </w:p>
          <w:p w14:paraId="7AA1555E">
            <w:pPr>
              <w:adjustRightInd w:val="0"/>
              <w:snapToGrid w:val="0"/>
              <w:spacing w:line="360" w:lineRule="exact"/>
              <w:jc w:val="center"/>
              <w:rPr>
                <w:rFonts w:hint="eastAsia" w:ascii="Times New Roman" w:hAnsi="Times New Roman" w:cs="Times New Roman" w:eastAsiaTheme="minorEastAsia"/>
                <w:b/>
                <w:bCs/>
                <w:kern w:val="2"/>
                <w:sz w:val="30"/>
                <w:szCs w:val="30"/>
                <w:highlight w:val="none"/>
                <w:lang w:val="en-US" w:eastAsia="zh-CN" w:bidi="ar-SA"/>
              </w:rPr>
            </w:pPr>
            <w:r>
              <w:rPr>
                <w:rFonts w:hint="eastAsia" w:ascii="Times New Roman" w:hAnsi="Times New Roman" w:cs="Times New Roman"/>
                <w:b/>
                <w:bCs/>
                <w:kern w:val="2"/>
                <w:sz w:val="30"/>
                <w:szCs w:val="30"/>
                <w:highlight w:val="none"/>
                <w:lang w:val="en-US" w:eastAsia="zh-CN" w:bidi="ar-SA"/>
              </w:rPr>
              <w:t>技术报告信息公示</w:t>
            </w:r>
            <w:r>
              <w:rPr>
                <w:rFonts w:hint="eastAsia" w:ascii="Times New Roman" w:hAnsi="Times New Roman" w:cs="Times New Roman" w:eastAsiaTheme="minorEastAsia"/>
                <w:b/>
                <w:bCs/>
                <w:kern w:val="2"/>
                <w:sz w:val="30"/>
                <w:szCs w:val="30"/>
                <w:highlight w:val="none"/>
                <w:lang w:val="en-US" w:eastAsia="zh-CN" w:bidi="ar-SA"/>
              </w:rPr>
              <w:t>表</w:t>
            </w:r>
          </w:p>
          <w:p w14:paraId="0745060E">
            <w:pPr>
              <w:adjustRightInd w:val="0"/>
              <w:snapToGrid w:val="0"/>
              <w:spacing w:line="360" w:lineRule="exact"/>
              <w:jc w:val="center"/>
              <w:rPr>
                <w:rFonts w:hint="eastAsia" w:ascii="Times New Roman" w:hAnsi="Times New Roman" w:cs="Times New Roman"/>
                <w:sz w:val="30"/>
                <w:szCs w:val="30"/>
                <w:highlight w:val="none"/>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5B184A9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单位名称：</w:t>
            </w:r>
            <w:r>
              <w:rPr>
                <w:rFonts w:hint="eastAsia" w:ascii="Times New Roman" w:hAnsi="Times New Roman" w:cs="宋体"/>
                <w:sz w:val="24"/>
                <w:szCs w:val="24"/>
                <w:highlight w:val="none"/>
                <w:lang w:val="en-US" w:eastAsia="zh-CN"/>
              </w:rPr>
              <w:t>盈纬达（苏州）医疗器械有限公司</w:t>
            </w:r>
          </w:p>
          <w:p w14:paraId="64F5F41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imes New Roman" w:hAnsi="Times New Roman" w:cs="宋体"/>
                <w:sz w:val="24"/>
                <w:szCs w:val="24"/>
                <w:highlight w:val="none"/>
              </w:rPr>
            </w:pPr>
            <w:r>
              <w:rPr>
                <w:rFonts w:hint="eastAsia" w:ascii="Times New Roman" w:hAnsi="Times New Roman" w:cs="宋体"/>
                <w:sz w:val="24"/>
                <w:szCs w:val="24"/>
                <w:highlight w:val="none"/>
              </w:rPr>
              <w:t>地址</w:t>
            </w:r>
            <w:r>
              <w:rPr>
                <w:rFonts w:hint="eastAsia" w:ascii="Times New Roman" w:hAnsi="Times New Roman" w:cs="宋体"/>
                <w:sz w:val="24"/>
                <w:szCs w:val="24"/>
                <w:highlight w:val="none"/>
                <w:lang w:val="en-US" w:eastAsia="zh-CN"/>
              </w:rPr>
              <w:t>：</w:t>
            </w:r>
            <w:r>
              <w:rPr>
                <w:rFonts w:hint="eastAsia" w:ascii="Times New Roman" w:hAnsi="Times New Roman" w:cs="宋体"/>
                <w:sz w:val="24"/>
                <w:szCs w:val="24"/>
                <w:highlight w:val="none"/>
              </w:rPr>
              <w:t>江苏省苏州高新区锦峰路8号18号楼一层二层</w:t>
            </w:r>
          </w:p>
          <w:p w14:paraId="5F3C73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rPr>
              <w:t>联系人：</w:t>
            </w:r>
            <w:r>
              <w:rPr>
                <w:rFonts w:hint="eastAsia" w:ascii="Times New Roman" w:hAnsi="Times New Roman" w:cs="宋体"/>
                <w:sz w:val="24"/>
                <w:szCs w:val="24"/>
                <w:highlight w:val="none"/>
                <w:lang w:val="en-US" w:eastAsia="zh-CN"/>
              </w:rPr>
              <w:t>陈工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洪坤祥</w:t>
                  </w:r>
                </w:p>
              </w:tc>
              <w:tc>
                <w:tcPr>
                  <w:tcW w:w="1602" w:type="dxa"/>
                  <w:shd w:val="clear"/>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化学工程与工艺</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许  燕</w:t>
                  </w:r>
                </w:p>
              </w:tc>
              <w:tc>
                <w:tcPr>
                  <w:tcW w:w="1602" w:type="dxa"/>
                  <w:shd w:val="clear"/>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纺织化学与染整工程</w:t>
                  </w:r>
                </w:p>
              </w:tc>
              <w:tc>
                <w:tcPr>
                  <w:tcW w:w="1975" w:type="dxa"/>
                  <w:shd w:val="clear" w:color="auto" w:fill="auto"/>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何  帅</w:t>
                  </w:r>
                </w:p>
              </w:tc>
              <w:tc>
                <w:tcPr>
                  <w:tcW w:w="1602" w:type="dxa"/>
                  <w:shd w:val="clear"/>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应用化学</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0D1C0463">
                  <w:pPr>
                    <w:snapToGrid w:val="0"/>
                    <w:jc w:val="center"/>
                    <w:rPr>
                      <w:rFonts w:hint="default"/>
                      <w:lang w:val="en-US" w:eastAsia="zh-CN"/>
                    </w:rPr>
                  </w:pPr>
                  <w:r>
                    <w:rPr>
                      <w:rFonts w:hint="eastAsia" w:ascii="Times New Roman" w:hAnsi="Times New Roman" w:cs="宋体"/>
                      <w:sz w:val="24"/>
                      <w:szCs w:val="24"/>
                      <w:highlight w:val="none"/>
                      <w:lang w:val="en-US" w:eastAsia="zh-CN"/>
                    </w:rPr>
                    <w:t>2024-08-06</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陈中秋</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2024-08-06</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张梦磊</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26BCA08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2024-10-10~12</w:t>
                  </w:r>
                </w:p>
              </w:tc>
            </w:tr>
            <w:tr w14:paraId="6A88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3EE47A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D33D86A">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甘宏丽</w:t>
                  </w:r>
                  <w:bookmarkStart w:id="0" w:name="_GoBack"/>
                  <w:bookmarkEnd w:id="0"/>
                </w:p>
              </w:tc>
              <w:tc>
                <w:tcPr>
                  <w:tcW w:w="1922" w:type="pct"/>
                  <w:tcBorders>
                    <w:top w:val="single" w:color="auto" w:sz="4" w:space="0"/>
                    <w:left w:val="nil"/>
                    <w:bottom w:val="single" w:color="auto" w:sz="4" w:space="0"/>
                    <w:right w:val="single" w:color="auto" w:sz="4" w:space="0"/>
                  </w:tcBorders>
                  <w:shd w:val="clear" w:color="auto" w:fill="auto"/>
                  <w:vAlign w:val="center"/>
                </w:tcPr>
                <w:p w14:paraId="60BF5D8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571ECD5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2024-10-10~12</w:t>
                  </w:r>
                </w:p>
              </w:tc>
            </w:tr>
            <w:tr w14:paraId="3EB3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5C1EE1A">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5B8085F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陈工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7CB7EA64">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7D84CCB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2024-08-06</w:t>
                  </w:r>
                </w:p>
                <w:p w14:paraId="541BABF2">
                  <w:pPr>
                    <w:pStyle w:val="2"/>
                    <w:jc w:val="center"/>
                    <w:rPr>
                      <w:rFonts w:hint="default"/>
                      <w:lang w:val="en-US" w:eastAsia="zh-CN"/>
                    </w:rPr>
                  </w:pPr>
                  <w:r>
                    <w:rPr>
                      <w:rFonts w:hint="eastAsia" w:ascii="Times New Roman" w:hAnsi="Times New Roman" w:cs="宋体"/>
                      <w:sz w:val="24"/>
                      <w:szCs w:val="24"/>
                      <w:highlight w:val="none"/>
                      <w:lang w:val="en-US" w:eastAsia="zh-CN"/>
                    </w:rPr>
                    <w:t>2024-10-10~12</w:t>
                  </w:r>
                </w:p>
              </w:tc>
            </w:tr>
          </w:tbl>
          <w:p w14:paraId="745FB539">
            <w:pPr>
              <w:numPr>
                <w:ilvl w:val="0"/>
                <w:numId w:val="0"/>
              </w:numPr>
              <w:adjustRightInd w:val="0"/>
              <w:snapToGrid w:val="0"/>
              <w:spacing w:line="360" w:lineRule="exact"/>
              <w:jc w:val="left"/>
              <w:rPr>
                <w:rFonts w:hint="eastAsia" w:ascii="Times New Roman" w:hAnsi="Times New Roman" w:cs="Times New Roman"/>
                <w:b/>
                <w:bCs/>
                <w:sz w:val="24"/>
                <w:szCs w:val="24"/>
              </w:rPr>
            </w:pPr>
          </w:p>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1282D9A5">
            <w:pPr>
              <w:numPr>
                <w:ilvl w:val="0"/>
                <w:numId w:val="0"/>
              </w:numPr>
              <w:adjustRightInd w:val="0"/>
              <w:snapToGrid w:val="0"/>
              <w:spacing w:line="240" w:lineRule="auto"/>
              <w:jc w:val="both"/>
              <w:rPr>
                <w:rFonts w:hint="eastAsia" w:ascii="Times New Roman" w:hAnsi="Times New Roman" w:cs="Times New Roman"/>
                <w:b/>
                <w:bCs/>
                <w:color w:val="FF0000"/>
                <w:sz w:val="24"/>
                <w:szCs w:val="24"/>
                <w:lang w:val="en-US" w:eastAsia="zh-CN"/>
              </w:rPr>
            </w:pPr>
            <w:r>
              <w:drawing>
                <wp:inline distT="0" distB="0" distL="114300" distR="114300">
                  <wp:extent cx="5000625" cy="3255010"/>
                  <wp:effectExtent l="0" t="0" r="952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000625" cy="3255010"/>
                          </a:xfrm>
                          <a:prstGeom prst="rect">
                            <a:avLst/>
                          </a:prstGeom>
                          <a:noFill/>
                          <a:ln>
                            <a:noFill/>
                          </a:ln>
                        </pic:spPr>
                      </pic:pic>
                    </a:graphicData>
                  </a:graphic>
                </wp:inline>
              </w:drawing>
            </w:r>
          </w:p>
          <w:p w14:paraId="063F0FE2">
            <w:pPr>
              <w:numPr>
                <w:ilvl w:val="0"/>
                <w:numId w:val="0"/>
              </w:numPr>
              <w:adjustRightInd w:val="0"/>
              <w:snapToGrid w:val="0"/>
              <w:spacing w:line="240" w:lineRule="auto"/>
              <w:jc w:val="both"/>
              <w:rPr>
                <w:rFonts w:hint="eastAsia" w:ascii="Times New Roman" w:hAnsi="Times New Roman" w:cs="Times New Roman"/>
                <w:b/>
                <w:bCs/>
                <w:sz w:val="24"/>
                <w:szCs w:val="24"/>
                <w:lang w:val="en-US" w:eastAsia="zh-CN"/>
              </w:rPr>
            </w:pPr>
            <w:r>
              <w:drawing>
                <wp:inline distT="0" distB="0" distL="114300" distR="114300">
                  <wp:extent cx="4903470" cy="4018280"/>
                  <wp:effectExtent l="0" t="0" r="1143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903470" cy="4018280"/>
                          </a:xfrm>
                          <a:prstGeom prst="rect">
                            <a:avLst/>
                          </a:prstGeom>
                          <a:noFill/>
                          <a:ln>
                            <a:noFill/>
                          </a:ln>
                        </pic:spPr>
                      </pic:pic>
                    </a:graphicData>
                  </a:graphic>
                </wp:inline>
              </w:drawing>
            </w:r>
          </w:p>
        </w:tc>
      </w:tr>
    </w:tbl>
    <w:p w14:paraId="16CB3FBE">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85C5EC-9A68-4A17-9827-30DC92A6D970}"/>
  </w:font>
  <w:font w:name="Arial">
    <w:panose1 w:val="020B0604020202020204"/>
    <w:charset w:val="01"/>
    <w:family w:val="swiss"/>
    <w:pitch w:val="default"/>
    <w:sig w:usb0="E0002EFF" w:usb1="C000785B" w:usb2="00000009" w:usb3="00000000" w:csb0="400001FF" w:csb1="FFFF0000"/>
    <w:embedRegular r:id="rId2" w:fontKey="{91E31B71-9D4B-464B-8DE7-A2177F56F4F0}"/>
  </w:font>
  <w:font w:name="黑体">
    <w:panose1 w:val="02010609060101010101"/>
    <w:charset w:val="86"/>
    <w:family w:val="auto"/>
    <w:pitch w:val="default"/>
    <w:sig w:usb0="800002BF" w:usb1="38CF7CFA" w:usb2="00000016" w:usb3="00000000" w:csb0="00040001" w:csb1="00000000"/>
    <w:embedRegular r:id="rId3" w:fontKey="{71E49743-5FAE-4CFA-854E-526043C86D1B}"/>
  </w:font>
  <w:font w:name="Courier New">
    <w:panose1 w:val="02070309020205020404"/>
    <w:charset w:val="01"/>
    <w:family w:val="modern"/>
    <w:pitch w:val="default"/>
    <w:sig w:usb0="E0002EFF" w:usb1="C0007843" w:usb2="00000009" w:usb3="00000000" w:csb0="400001FF" w:csb1="FFFF0000"/>
    <w:embedRegular r:id="rId4" w:fontKey="{BD7D4936-19E1-4A91-9363-C42F176FE04E}"/>
  </w:font>
  <w:font w:name="Symbol">
    <w:panose1 w:val="05050102010706020507"/>
    <w:charset w:val="02"/>
    <w:family w:val="roman"/>
    <w:pitch w:val="default"/>
    <w:sig w:usb0="00000000" w:usb1="00000000" w:usb2="00000000" w:usb3="00000000" w:csb0="80000000" w:csb1="00000000"/>
    <w:embedRegular r:id="rId5" w:fontKey="{62E079A1-DCA0-4702-92F0-80D59F38D261}"/>
  </w:font>
  <w:font w:name="Calibri">
    <w:panose1 w:val="020F0502020204030204"/>
    <w:charset w:val="00"/>
    <w:family w:val="swiss"/>
    <w:pitch w:val="default"/>
    <w:sig w:usb0="E4002EFF" w:usb1="C000247B" w:usb2="00000009" w:usb3="00000000" w:csb0="200001FF" w:csb1="00000000"/>
    <w:embedRegular r:id="rId6" w:fontKey="{735EEFB9-EBA1-4749-A7D2-46555F84E0FB}"/>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embedRegular r:id="rId7" w:fontKey="{5A242238-A468-4B1F-B3A9-D9CF7498F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29123E6"/>
    <w:rsid w:val="047C022E"/>
    <w:rsid w:val="04EE7D3D"/>
    <w:rsid w:val="06DB36DB"/>
    <w:rsid w:val="071C0F2F"/>
    <w:rsid w:val="0B7E7D9F"/>
    <w:rsid w:val="0BEF50C8"/>
    <w:rsid w:val="0D9919F5"/>
    <w:rsid w:val="0E92702C"/>
    <w:rsid w:val="0EB4716E"/>
    <w:rsid w:val="0FA67D12"/>
    <w:rsid w:val="10006553"/>
    <w:rsid w:val="126D4444"/>
    <w:rsid w:val="127D504D"/>
    <w:rsid w:val="13FC7FAF"/>
    <w:rsid w:val="19B02EB1"/>
    <w:rsid w:val="23A90389"/>
    <w:rsid w:val="24F06B65"/>
    <w:rsid w:val="24F478B2"/>
    <w:rsid w:val="28BF04CE"/>
    <w:rsid w:val="297636CD"/>
    <w:rsid w:val="2A2B6B3A"/>
    <w:rsid w:val="2AEE4CC8"/>
    <w:rsid w:val="33B9156D"/>
    <w:rsid w:val="36871062"/>
    <w:rsid w:val="38F87350"/>
    <w:rsid w:val="3B2B53BB"/>
    <w:rsid w:val="3D9033CE"/>
    <w:rsid w:val="3F147860"/>
    <w:rsid w:val="402D7CEE"/>
    <w:rsid w:val="41E4263A"/>
    <w:rsid w:val="48672AD4"/>
    <w:rsid w:val="49227B87"/>
    <w:rsid w:val="4B166D26"/>
    <w:rsid w:val="4B950D02"/>
    <w:rsid w:val="4DE731D6"/>
    <w:rsid w:val="4ECE13DA"/>
    <w:rsid w:val="4FEA415B"/>
    <w:rsid w:val="526625A4"/>
    <w:rsid w:val="54B91959"/>
    <w:rsid w:val="568A181F"/>
    <w:rsid w:val="58707AC0"/>
    <w:rsid w:val="5A0275A2"/>
    <w:rsid w:val="5B6C4601"/>
    <w:rsid w:val="5CEB0D54"/>
    <w:rsid w:val="607E222C"/>
    <w:rsid w:val="60DA536A"/>
    <w:rsid w:val="61F05C00"/>
    <w:rsid w:val="62204B0A"/>
    <w:rsid w:val="62684919"/>
    <w:rsid w:val="637B07F7"/>
    <w:rsid w:val="64807EA9"/>
    <w:rsid w:val="69AC1F4F"/>
    <w:rsid w:val="6E527A56"/>
    <w:rsid w:val="6EE42CB4"/>
    <w:rsid w:val="728E6952"/>
    <w:rsid w:val="738B2546"/>
    <w:rsid w:val="742606C9"/>
    <w:rsid w:val="75266881"/>
    <w:rsid w:val="7AB81BCF"/>
    <w:rsid w:val="7BA4657B"/>
    <w:rsid w:val="7C0E04A0"/>
    <w:rsid w:val="7C6469EC"/>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469</Words>
  <Characters>592</Characters>
  <Lines>3</Lines>
  <Paragraphs>1</Paragraphs>
  <TotalTime>2</TotalTime>
  <ScaleCrop>false</ScaleCrop>
  <LinksUpToDate>false</LinksUpToDate>
  <CharactersWithSpaces>606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EDZ</cp:lastModifiedBy>
  <dcterms:modified xsi:type="dcterms:W3CDTF">2024-12-20T06:54:42Z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2052-12.1.0.19302</vt:lpwstr>
  </property>
  <property fmtid="{D5CDD505-2E9C-101B-9397-08002B2CF9AE}" pid="4" name="ICV">
    <vt:lpwstr>0813591525B348DF981B028D329E43BC_13</vt:lpwstr>
  </property>
</Properties>
</file>