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C6000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60002"/>
          <w:spacing w:val="0"/>
          <w:sz w:val="24"/>
          <w:szCs w:val="24"/>
          <w:bdr w:val="none" w:color="auto" w:sz="0" w:space="0"/>
        </w:rPr>
        <w:t>关于发布核安全导则《核技术利用放射性废物最小化》、核安全法规技术文件《放射性废物处置安全全过程系统分析》的通知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为进一步完善我国核与辐射安全法规体系，我局组织制定了《核安全导则 核技术利用放射性废物最小化》（HAD401/11-2020）、《核安全法规技术文件  放射性废物处置安全全过程系统分析》（NNSA-HAJ-0001-2020）,现予公布，自公布之日起实施。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附件：1.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"http://www.mee.gov.cn/xxgk2018/xxgk/xxgk09/202003/W020200317602525411713.pdf"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核技术利用放射性废物最小化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2.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"http://www.mee.gov.cn/xxgk2018/xxgk/xxgk09/202003/W020200317602526018128.pdf"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放射性废物处置安全全过程系统分析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国家核安全局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2020年3月10日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(此件社会公开)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生态环境部办公厅2020年3月10日印发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E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2020-04-11T08:32:16Z</dcterms:created>
  <dc:creator>Huimi</dc:creator>
  <cp:lastModifiedBy>Huimi</cp:lastModifiedBy>
  <dcterms:modified xsi:type="dcterms:W3CDTF">2020-04-11T08:32:37Z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