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微软雅黑" w:hAnsi="微软雅黑" w:eastAsia="微软雅黑" w:cs="微软雅黑"/>
          <w:i w:val="0"/>
          <w:caps w:val="0"/>
          <w:color w:val="C60002"/>
          <w:spacing w:val="0"/>
          <w:sz w:val="24"/>
          <w:szCs w:val="24"/>
        </w:rPr>
      </w:pPr>
      <w:r>
        <w:rPr>
          <w:rFonts w:hint="eastAsia" w:ascii="微软雅黑" w:hAnsi="微软雅黑" w:eastAsia="微软雅黑" w:cs="微软雅黑"/>
          <w:i w:val="0"/>
          <w:caps w:val="0"/>
          <w:color w:val="C60002"/>
          <w:spacing w:val="0"/>
          <w:sz w:val="24"/>
          <w:szCs w:val="24"/>
          <w:bdr w:val="none" w:color="auto" w:sz="0" w:space="0"/>
        </w:rPr>
        <w:t>关于恶臭气体超标排放法律适用有关问题的复函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云南省生态环境厅：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你厅《转报昆明市生态环境局关于恶臭气体超标处罚适用法律的请示》（云环函〔2019〕731号）收悉。经研究，函复如下：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一、相关法律规定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（一）关于超标排放大气污染物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大气污染防治法第十八条规定：“企业事业单位和其他生产经营者……向大气排放污染物的，应当符合大气污染物排放标准，遵守重点大气污染物排放总量控制要求。”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第九十九条规定：“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（二）关于未采取措施防止排放恶臭气体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大气污染防治法第八十条规定：“企业事业单位和其他生产经营者在生产经营活动中产生恶臭气体的，应当科学选址，设置合理的防护距离，并安装净化装置或者采取其他措施，防止排放恶臭气体。”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第一百一十七条规定：“违反本法规定，有下列行为之一的，由县级以上人民政府生态环境等主管部门按照职责责令改正，处一万元以上十万元以下的罚款；拒不改正的，责令停工整治或者停业整治：……（八）未采取措施防止排放恶臭气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（三）关于餐饮服务业经营者超标排放油烟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大气污染防治法第八十一条第一款规定：“排放油烟的餐饮服务业经营者应当安装油烟净化设施并保持正常使用，或者采取其他油烟净化措施，使油烟达标排放，并防止对附近居民的正常生活环境造成污染。”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第一百一十八条第一款规定：“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二、 法律适用意见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环境行政处罚办法第九条规定：“当事人的一个违法行为同时违反两个以上环境法律、法规或者规章条款，应当适用效力等级较高的法律、法规或者规章；效力等级相同的，可以适用处罚较重的条款。”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我部认为，企业事业单位和其他生产经营者未采取措施防止排放恶臭气体，导致恶臭气体超标排放的，同时违反了大气污染防治法第十八条和第八十条的规定，属于当事人一个违法行为同时违反两个以上法律条款的情形。根据环境行政处罚办法第九条的规定，应当适用处罚较重的条款，即适用大气污染防治法第九十九条第二项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需注意的是，对餐饮服务业经营者未安装油烟净化设施、不正常使用油烟净化设施或者未采取其他油烟净化措施，超过排放标准排放油烟的违法行为，大气污染防治法第八十一条第一款和第一百一十八条第一款已作出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因此，按照特别条款优于一般条款的原则，餐饮服务业经营者未安装油烟净化设施、不正常使用油烟净化设施或者未采取其他油烟净化措施，超过排放标准排放油烟的，应当适用大气污染防治法第一百一十八条第一款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特此函复。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16"/>
          <w:szCs w:val="16"/>
        </w:rPr>
      </w:pPr>
      <w:r>
        <w:rPr>
          <w:rFonts w:hint="eastAsia" w:ascii="微软雅黑" w:hAnsi="微软雅黑" w:eastAsia="微软雅黑" w:cs="微软雅黑"/>
          <w:i w:val="0"/>
          <w:caps w:val="0"/>
          <w:color w:val="000000"/>
          <w:spacing w:val="0"/>
          <w:sz w:val="16"/>
          <w:szCs w:val="16"/>
          <w:bdr w:val="none" w:color="auto" w:sz="0" w:space="0"/>
        </w:rPr>
        <w:t>　　生态环境部办公厅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16"/>
          <w:szCs w:val="16"/>
        </w:rPr>
      </w:pPr>
      <w:r>
        <w:rPr>
          <w:rFonts w:hint="eastAsia" w:ascii="微软雅黑" w:hAnsi="微软雅黑" w:eastAsia="微软雅黑" w:cs="微软雅黑"/>
          <w:i w:val="0"/>
          <w:caps w:val="0"/>
          <w:color w:val="000000"/>
          <w:spacing w:val="0"/>
          <w:sz w:val="16"/>
          <w:szCs w:val="16"/>
          <w:bdr w:val="none" w:color="auto" w:sz="0" w:space="0"/>
        </w:rPr>
        <w:t>　　2020年3月20日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（此件社会公开）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4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2020-04-11T08:36:01Z</dcterms:created>
  <dc:creator>Huimi</dc:creator>
  <cp:lastModifiedBy>Huimi</cp:lastModifiedBy>
  <dcterms:modified xsi:type="dcterms:W3CDTF">2020-04-11T08:36:14Z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